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charts/chart1.xml" ContentType="application/vnd.openxmlformats-officedocument.drawingml.chart+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Faculty Council on Community Colleges – Spring 2018 Plenary</w:t>
      </w:r>
      <w:r/>
    </w:p>
    <w:p>
      <w:pPr>
        <w:pStyle w:val="Normal"/>
      </w:pPr>
      <w:r>
        <w:rPr/>
        <w:t xml:space="preserve">The main item under discussion was the </w:t>
      </w:r>
      <w:r>
        <w:rPr>
          <w:b/>
        </w:rPr>
        <w:t>budget</w:t>
      </w:r>
      <w:r>
        <w:rPr/>
        <w:t xml:space="preserve"> for next year.  </w:t>
      </w:r>
      <w:r/>
    </w:p>
    <w:p>
      <w:pPr>
        <w:pStyle w:val="Normal"/>
      </w:pPr>
      <w:r>
        <w:rPr/>
        <w:t>The new funding proposal did not pass for this year but SUNY plans to re-introduce it next year for the 2019-2020 school year.   (Funding Redesign Proposal = All Colleges increased year-to-year + 3 Components [Maintenance of Effort, HEPI, EOP])</w:t>
      </w:r>
      <w:r/>
    </w:p>
    <w:p>
      <w:pPr>
        <w:pStyle w:val="Normal"/>
      </w:pPr>
      <w:r>
        <w:rPr/>
        <w:t>The 2018-2019 funding will be $100 per FTE which is an improvement from this year, but will not bring in as much state aid to most school as the proposed package as still over ½ of CCs lose year-to-year State Aid.</w:t>
      </w:r>
      <w:r/>
    </w:p>
    <w:p>
      <w:pPr>
        <w:pStyle w:val="Normal"/>
      </w:pPr>
      <w:r>
        <w:rPr/>
        <w:t>In addition to the overall budget, $1.1 million in child care funding was restored and GAP funding was eliminated.</w:t>
      </w:r>
      <w:r/>
    </w:p>
    <w:p>
      <w:pPr>
        <w:pStyle w:val="Normal"/>
      </w:pPr>
      <w:r>
        <w:rPr/>
      </w:r>
      <w:r/>
    </w:p>
    <w:p>
      <w:pPr>
        <w:pStyle w:val="Normal"/>
      </w:pPr>
      <w:r>
        <w:rPr/>
        <w:t>Presentations were made on the following topics:</w:t>
      </w:r>
      <w:r/>
    </w:p>
    <w:p>
      <w:pPr>
        <w:pStyle w:val="Normal"/>
        <w:numPr>
          <w:ilvl w:val="0"/>
          <w:numId w:val="1"/>
        </w:numPr>
      </w:pPr>
      <w:r>
        <w:rPr>
          <w:b/>
        </w:rPr>
        <w:t>The Chancellor’s Office reports</w:t>
      </w:r>
      <w:r>
        <w:rPr/>
        <w:t xml:space="preserve"> dealt with Guided Pathways and the four strategic themes for the Chancellor at present: </w:t>
      </w:r>
      <w:r>
        <w:rPr>
          <w:bCs/>
        </w:rPr>
        <w:t>Innovation &amp; Entrepreneurship</w:t>
      </w:r>
      <w:r>
        <w:rPr/>
        <w:t xml:space="preserve">, </w:t>
      </w:r>
      <w:r>
        <w:rPr>
          <w:bCs/>
        </w:rPr>
        <w:t>Individualized Education</w:t>
      </w:r>
      <w:r>
        <w:rPr/>
        <w:t xml:space="preserve">, </w:t>
      </w:r>
      <w:r>
        <w:rPr>
          <w:bCs/>
        </w:rPr>
        <w:t>Sustainability</w:t>
      </w:r>
      <w:r>
        <w:rPr/>
        <w:t xml:space="preserve">, </w:t>
      </w:r>
      <w:r>
        <w:rPr>
          <w:bCs/>
        </w:rPr>
        <w:t>Partnerships</w:t>
      </w:r>
      <w:r/>
    </w:p>
    <w:p>
      <w:pPr>
        <w:pStyle w:val="Normal"/>
        <w:numPr>
          <w:ilvl w:val="0"/>
          <w:numId w:val="1"/>
        </w:numPr>
      </w:pPr>
      <w:r>
        <w:rPr>
          <w:b/>
        </w:rPr>
        <w:t>Finances</w:t>
      </w:r>
      <w:r>
        <w:rPr/>
        <w:t>: Funding Model (explained above). Chargebacks seem to have been eliminated from the 2018-2019 budget, not sure about the implications beyond that budget cycle.   Excelsior Scholarship 2018-19 Opened March 26, 2018, Deadline July 23, 2018, NYS Budget - $118 Million to continue program</w:t>
      </w:r>
      <w:r/>
    </w:p>
    <w:p>
      <w:pPr>
        <w:pStyle w:val="Normal"/>
        <w:numPr>
          <w:ilvl w:val="0"/>
          <w:numId w:val="1"/>
        </w:numPr>
      </w:pPr>
      <w:r>
        <w:rPr>
          <w:b/>
        </w:rPr>
        <w:t>The Budget Office Report</w:t>
      </w:r>
      <w:r>
        <w:rPr/>
        <w:t xml:space="preserve"> was depressing – especially if we continue with only an FTE funding model.  This graph was developed using actual current enrollment in NY elementary, middle, and high schools and current birth rates in NYS. </w:t>
      </w:r>
      <w:r>
        <w:rPr/>
        <w:drawing>
          <wp:inline distT="0" distB="0" distL="0" distR="0">
            <wp:extent cx="5943600" cy="2595880"/>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r/>
    </w:p>
    <w:p>
      <w:pPr>
        <w:pStyle w:val="Normal"/>
        <w:numPr>
          <w:ilvl w:val="0"/>
          <w:numId w:val="1"/>
        </w:numPr>
      </w:pPr>
      <w:r>
        <w:rPr>
          <w:bCs/>
        </w:rPr>
        <w:t>Actuals from 06/07 – 16/17</w:t>
      </w:r>
      <w:r>
        <w:rPr/>
        <w:t xml:space="preserve">: </w:t>
      </w:r>
      <w:r>
        <w:rPr>
          <w:bCs/>
        </w:rPr>
        <w:t>Decrease of 2,430 or 1.5 percent, 17 colleges showed an average FTE increase of 399 while 13 showed an average decrease of 709)</w:t>
      </w:r>
      <w:r/>
    </w:p>
    <w:p>
      <w:pPr>
        <w:pStyle w:val="Normal"/>
        <w:numPr>
          <w:ilvl w:val="0"/>
          <w:numId w:val="1"/>
        </w:numPr>
      </w:pPr>
      <w:r>
        <w:rPr>
          <w:bCs/>
        </w:rPr>
        <w:t>From Actual 16/17 to Projection 24/25:</w:t>
      </w:r>
      <w:r>
        <w:rPr/>
        <w:t xml:space="preserve"> </w:t>
      </w:r>
      <w:r>
        <w:rPr>
          <w:bCs/>
        </w:rPr>
        <w:t>Decrease of 12,893 or 8.0 percent</w:t>
      </w:r>
      <w:r>
        <w:rPr/>
        <w:t xml:space="preserve">, </w:t>
      </w:r>
      <w:r>
        <w:rPr>
          <w:bCs/>
        </w:rPr>
        <w:t>All 30 colleges showed an average FTE decrease of 440)</w:t>
      </w:r>
      <w:r/>
    </w:p>
    <w:p>
      <w:pPr>
        <w:pStyle w:val="Normal"/>
        <w:ind w:left="720" w:hanging="0"/>
      </w:pPr>
      <w:r>
        <w:rPr>
          <w:bCs/>
        </w:rPr>
        <w:t>If this is accurate, the FTE model will cause serious issues for Community Colleges.</w:t>
      </w:r>
      <w:r/>
    </w:p>
    <w:p>
      <w:pPr>
        <w:pStyle w:val="Normal"/>
        <w:numPr>
          <w:ilvl w:val="0"/>
          <w:numId w:val="1"/>
        </w:numPr>
      </w:pPr>
      <w:r>
        <w:rPr>
          <w:b/>
        </w:rPr>
        <w:t>SUNY Diversity, Equity, and Inclusion presentation</w:t>
      </w:r>
      <w:r>
        <w:rPr/>
        <w:t>.  I felt this was a great presentation that discussed SUNY’s DEI policies and discussed our current student population as well as projecting likely changes for the future.  “SUNY’s statutory mission makes clear its responsibility to provide the broadest possible access, fully representative of all segments of the population of NYS.” Currently SCCC is listed as an “Emerging Hispanic Serving Institution”  with 6365 students of 26,756 identifying as Hispanic (23.8%).  Once we pass 25% we become an “Hispanic Serving Institution” and some additional funding may become available.</w:t>
      </w:r>
      <w:r/>
    </w:p>
    <w:p>
      <w:pPr>
        <w:pStyle w:val="Normal"/>
        <w:numPr>
          <w:ilvl w:val="0"/>
          <w:numId w:val="1"/>
        </w:numPr>
      </w:pPr>
      <w:r>
        <w:rPr>
          <w:b/>
        </w:rPr>
        <w:t>The UFS report</w:t>
      </w:r>
      <w:r>
        <w:rPr/>
        <w:t xml:space="preserve"> discussed resolutions that passed their Fall Plenary supporting undocumented students, requesting CGL sign off on program changes, improving diversity in post-doc fellowships, advising international students, and reviewing the definition of “Liberal Arts.”</w:t>
      </w:r>
      <w:r/>
    </w:p>
    <w:p>
      <w:pPr>
        <w:pStyle w:val="Normal"/>
        <w:numPr>
          <w:ilvl w:val="0"/>
          <w:numId w:val="1"/>
        </w:numPr>
      </w:pPr>
      <w:r>
        <w:rPr>
          <w:b/>
        </w:rPr>
        <w:t>The Distinguished Academy</w:t>
      </w:r>
      <w:r>
        <w:rPr/>
        <w:t xml:space="preserve">:  A request went out for more CCs to nominate faculty for Distinguished Rank.  If people would like to follow up or potentially ask currnt SUNY Distinguished faculty to come and Speak they can get more information at: </w:t>
      </w:r>
      <w:r>
        <w:rPr>
          <w:b/>
          <w:bCs/>
        </w:rPr>
        <w:t>Distinguished Academy website</w:t>
      </w:r>
      <w:r>
        <w:rPr/>
        <w:t xml:space="preserve">  </w:t>
      </w:r>
      <w:hyperlink r:id="rId3">
        <w:r>
          <w:rPr>
            <w:rStyle w:val="InternetLink"/>
            <w:b/>
            <w:bCs/>
          </w:rPr>
          <w:t>http://www.suny.edu/Distinguished-Academy</w:t>
        </w:r>
      </w:hyperlink>
      <w:r>
        <w:rPr/>
        <w:t xml:space="preserve">  </w:t>
      </w:r>
      <w:r>
        <w:rPr>
          <w:b/>
          <w:bCs/>
        </w:rPr>
        <w:t>Distinguished Academy Member database </w:t>
      </w:r>
      <w:hyperlink r:id="rId4">
        <w:r>
          <w:rPr>
            <w:rStyle w:val="InternetLink"/>
            <w:b/>
            <w:bCs/>
          </w:rPr>
          <w:t>http://www.suny.edu/distinguished-academy/members</w:t>
        </w:r>
      </w:hyperlink>
      <w:r/>
    </w:p>
    <w:p>
      <w:pPr>
        <w:pStyle w:val="Normal"/>
        <w:ind w:left="360" w:hanging="0"/>
        <w:rPr/>
      </w:pPr>
      <w:r>
        <w:rPr/>
      </w:r>
      <w:r/>
    </w:p>
    <w:p>
      <w:pPr>
        <w:pStyle w:val="Normal"/>
        <w:ind w:left="360" w:hanging="0"/>
        <w:rPr/>
      </w:pPr>
      <w:bookmarkStart w:id="0" w:name="_GoBack"/>
      <w:bookmarkEnd w:id="0"/>
      <w:r>
        <w:rPr/>
        <w:t>I attended the Academic and Student Affairs Committee meeting in which we passed a resolution in support of DACA students, and a resolution requesting CGLs be proactively involved early on in any work to change (particularly eliminate) academic programs.  We discussed the Liberal Arts definition question that the UFS had passed in their Fall Plenary but ultimately decided the basis for the suggested change was not strong enough to take up at this time. (The suggested change applied narrowly to a very few courses and could have broader implications for majors which are not Liberal Arts and don’t want to be considered that way.)</w:t>
      </w:r>
      <w:r/>
    </w:p>
    <w:p>
      <w:pPr>
        <w:pStyle w:val="Normal"/>
      </w:pPr>
      <w:r>
        <w:rPr/>
      </w: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pacing w:lineRule="auto" w:line="259"/>
      </w:pPr>
    </w:pPrDefault>
  </w:docDefaults>
  <w:latentStyles w:count="371" w:defQFormat="0" w:defSemiHidden="0" w:defUnhideWhenUsed="0" w:defUIPriority="99" w:defLockedState="0">
    <w:lsdException w:qFormat="1" w:uiPriority="0" w:name="Normal"/>
    <w:lsdException w:qFormat="1" w:uiPriority="9" w:name="heading 1"/>
    <w:lsdException w:unhideWhenUsed="1" w:qFormat="1" w:semiHidden="1" w:uiPriority="9" w:name="heading 2"/>
    <w:lsdException w:unhideWhenUsed="1" w:qFormat="1" w:semiHidden="1" w:uiPriority="9" w:name="heading 3"/>
    <w:lsdException w:unhideWhenUsed="1" w:qFormat="1" w:semiHidden="1" w:uiPriority="9" w:name="heading 4"/>
    <w:lsdException w:unhideWhenUsed="1" w:qFormat="1" w:semiHidden="1" w:uiPriority="9" w:name="heading 5"/>
    <w:lsdException w:unhideWhenUsed="1" w:qFormat="1" w:semiHidden="1" w:uiPriority="9" w:name="heading 6"/>
    <w:lsdException w:unhideWhenUsed="1" w:qFormat="1" w:semiHidden="1" w:uiPriority="9" w:name="heading 7"/>
    <w:lsdException w:unhideWhenUsed="1" w:qFormat="1" w:semiHidden="1" w:uiPriority="9" w:name="heading 8"/>
    <w:lsdException w:unhideWhenUsed="1" w:qFormat="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qFormat="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unhideWhenUsed="1" w:qFormat="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unhideWhenUsed/>
    <w:rPr/>
  </w:style>
  <w:style w:type="character" w:styleId="InternetLink">
    <w:name w:val="Internet Link"/>
    <w:basedOn w:val="DefaultParagraphFont"/>
    <w:uiPriority w:val="99"/>
    <w:unhideWhenUsed/>
    <w:rsid w:val="00e66b5a"/>
    <w:rPr>
      <w:color w:val="0563C1" w:themeColor="hyperlink"/>
      <w:u w:val="single"/>
      <w:lang w:val="zxx" w:eastAsia="zxx" w:bidi="zxx"/>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basedOn w:val="Normal"/>
    <w:uiPriority w:val="34"/>
    <w:qFormat/>
    <w:rsid w:val="00e66b5a"/>
    <w:pPr>
      <w:spacing w:lineRule="auto" w:line="240" w:before="0" w:after="0"/>
      <w:ind w:left="720" w:hanging="0"/>
      <w:contextualSpacing/>
    </w:pPr>
    <w:rPr>
      <w:rFonts w:ascii="Times New Roman" w:hAnsi="Times New Roman" w:eastAsia="Times New Roman" w:cs="Times New Roman"/>
      <w:sz w:val="24"/>
      <w:szCs w:val="24"/>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hyperlink" Target="http://www.suny.edu/Distinguished-Academy" TargetMode="External"/><Relationship Id="rId4" Type="http://schemas.openxmlformats.org/officeDocument/2006/relationships/hyperlink" Target="http://www.suny.edu/distinguished-academy/members"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b="1" sz="1200">
                <a:solidFill>
                  <a:srgbClr val="000000"/>
                </a:solidFill>
                <a:latin typeface="Calibri"/>
              </a:rPr>
              <a:t>Community College Full-Time Equivalent (FTE) Student Enrollment
Actuals and SUNY Budget Office Projections
2006/07 Actual to 2024/25 Projected</a:t>
            </a:r>
          </a:p>
        </c:rich>
      </c:tx>
      <c:layout/>
    </c:title>
    <c:plotArea>
      <c:layout/>
      <c:lineChart>
        <c:grouping val="standard"/>
        <c:ser>
          <c:idx val="0"/>
          <c:order val="0"/>
          <c:tx>
            <c:strRef>
              <c:f>label 0</c:f>
              <c:strCache>
                <c:ptCount val="1"/>
                <c:pt idx="0">
                  <c:v>FTE</c:v>
                </c:pt>
              </c:strCache>
            </c:strRef>
          </c:tx>
          <c:spPr>
            <a:solidFill>
              <a:srgbClr val="5b9bd5"/>
            </a:solidFill>
            <a:ln w="28440">
              <a:solidFill>
                <a:srgbClr val="5b9bd5"/>
              </a:solidFill>
              <a:round/>
            </a:ln>
          </c:spPr>
          <c:marker>
            <c:symbol val="circle"/>
            <c:size val="5"/>
            <c:spPr>
              <a:solidFill>
                <a:srgbClr val="ee4000"/>
              </a:solidFill>
            </c:spPr>
          </c:marker>
          <c:dLbls>
            <c:dLbl>
              <c:idx val="0"/>
              <c:dLblPos val="outEnd"/>
              <c:showLegendKey val="0"/>
              <c:showVal val="1"/>
              <c:showCatName val="0"/>
              <c:showSerName val="0"/>
              <c:showPercent val="0"/>
            </c:dLbl>
            <c:dLbl>
              <c:idx val="4"/>
              <c:dLblPos val="outEnd"/>
              <c:showLegendKey val="0"/>
              <c:showVal val="1"/>
              <c:showCatName val="0"/>
              <c:showSerName val="0"/>
              <c:showPercent val="0"/>
            </c:dLbl>
            <c:dLbl>
              <c:idx val="10"/>
              <c:dLblPos val="outEnd"/>
              <c:showLegendKey val="0"/>
              <c:showVal val="1"/>
              <c:showCatName val="0"/>
              <c:showSerName val="0"/>
              <c:showPercent val="0"/>
            </c:dLbl>
            <c:dLbl>
              <c:idx val="11"/>
              <c:dLblPos val="r"/>
              <c:showLegendKey val="0"/>
              <c:showVal val="0"/>
              <c:showCatName val="0"/>
              <c:showSerName val="0"/>
              <c:showPercent val="0"/>
            </c:dLbl>
            <c:dLbl>
              <c:idx val="12"/>
              <c:dLblPos val="r"/>
              <c:showLegendKey val="0"/>
              <c:showVal val="0"/>
              <c:showCatName val="0"/>
              <c:showSerName val="0"/>
              <c:showPercent val="0"/>
            </c:dLbl>
            <c:dLbl>
              <c:idx val="13"/>
              <c:dLblPos val="r"/>
              <c:showLegendKey val="0"/>
              <c:showVal val="0"/>
              <c:showCatName val="0"/>
              <c:showSerName val="0"/>
              <c:showPercent val="0"/>
            </c:dLbl>
            <c:dLbl>
              <c:idx val="14"/>
              <c:dLblPos val="outEnd"/>
              <c:showLegendKey val="0"/>
              <c:showVal val="1"/>
              <c:showCatName val="0"/>
              <c:showSerName val="0"/>
              <c:showPercent val="0"/>
            </c:dLbl>
            <c:dLbl>
              <c:idx val="15"/>
              <c:dLblPos val="r"/>
              <c:showLegendKey val="0"/>
              <c:showVal val="0"/>
              <c:showCatName val="0"/>
              <c:showSerName val="0"/>
              <c:showPercent val="0"/>
            </c:dLbl>
            <c:dLbl>
              <c:idx val="16"/>
              <c:dLblPos val="r"/>
              <c:showLegendKey val="0"/>
              <c:showVal val="0"/>
              <c:showCatName val="0"/>
              <c:showSerName val="0"/>
              <c:showPercent val="0"/>
            </c:dLbl>
            <c:dLbl>
              <c:idx val="17"/>
              <c:dLblPos val="r"/>
              <c:showLegendKey val="0"/>
              <c:showVal val="0"/>
              <c:showCatName val="0"/>
              <c:showSerName val="0"/>
              <c:showPercent val="0"/>
            </c:dLbl>
            <c:dLbl>
              <c:idx val="18"/>
              <c:dLblPos val="t"/>
              <c:showLegendKey val="0"/>
              <c:showVal val="1"/>
              <c:showCatName val="0"/>
              <c:showSerName val="0"/>
              <c:showPercent val="0"/>
            </c:dLbl>
            <c:dLblPos val="r"/>
            <c:showLegendKey val="0"/>
            <c:showVal val="0"/>
            <c:showCatName val="0"/>
            <c:showSerName val="0"/>
            <c:showPercent val="0"/>
          </c:dLbls>
          <c:cat>
            <c:strRef>
              <c:f>categories</c:f>
              <c:strCache>
                <c:ptCount val="19"/>
                <c:pt idx="0">
                  <c:v>2006/07</c:v>
                </c:pt>
                <c:pt idx="1">
                  <c:v>2007/08</c:v>
                </c:pt>
                <c:pt idx="2">
                  <c:v>2008/09</c:v>
                </c:pt>
                <c:pt idx="3">
                  <c:v>2009/10</c:v>
                </c:pt>
                <c:pt idx="4">
                  <c:v>2010/11</c:v>
                </c:pt>
                <c:pt idx="5">
                  <c:v>2011/12</c:v>
                </c:pt>
                <c:pt idx="6">
                  <c:v>2012/13</c:v>
                </c:pt>
                <c:pt idx="7">
                  <c:v>2013/14</c:v>
                </c:pt>
                <c:pt idx="8">
                  <c:v>2014/15</c:v>
                </c:pt>
                <c:pt idx="9">
                  <c:v>2015/16</c:v>
                </c:pt>
                <c:pt idx="10">
                  <c:v>2016/17</c:v>
                </c:pt>
                <c:pt idx="11">
                  <c:v>2017/18</c:v>
                </c:pt>
                <c:pt idx="12">
                  <c:v>2018/19</c:v>
                </c:pt>
                <c:pt idx="13">
                  <c:v>2019/20</c:v>
                </c:pt>
                <c:pt idx="14">
                  <c:v>2020/21</c:v>
                </c:pt>
                <c:pt idx="15">
                  <c:v>2021/22</c:v>
                </c:pt>
                <c:pt idx="16">
                  <c:v>2022/23</c:v>
                </c:pt>
                <c:pt idx="17">
                  <c:v>2023/24</c:v>
                </c:pt>
                <c:pt idx="18">
                  <c:v>2024/25</c:v>
                </c:pt>
              </c:strCache>
            </c:strRef>
          </c:cat>
          <c:val>
            <c:numRef>
              <c:f>0</c:f>
              <c:numCache>
                <c:formatCode>General</c:formatCode>
                <c:ptCount val="19"/>
                <c:pt idx="0">
                  <c:v>162940.6</c:v>
                </c:pt>
                <c:pt idx="1">
                  <c:v>168655.7</c:v>
                </c:pt>
                <c:pt idx="2">
                  <c:v>176705.6</c:v>
                </c:pt>
                <c:pt idx="3">
                  <c:v>192391.8</c:v>
                </c:pt>
                <c:pt idx="4">
                  <c:v>194202.3</c:v>
                </c:pt>
                <c:pt idx="5">
                  <c:v>189801.9</c:v>
                </c:pt>
                <c:pt idx="6">
                  <c:v>185655.1</c:v>
                </c:pt>
                <c:pt idx="7">
                  <c:v>181907.2</c:v>
                </c:pt>
                <c:pt idx="8">
                  <c:v>175464.1</c:v>
                </c:pt>
                <c:pt idx="9">
                  <c:v>166143.1</c:v>
                </c:pt>
                <c:pt idx="10">
                  <c:v>160511</c:v>
                </c:pt>
                <c:pt idx="11">
                  <c:v>158059.053847685</c:v>
                </c:pt>
                <c:pt idx="12">
                  <c:v>155322.661789543</c:v>
                </c:pt>
                <c:pt idx="13">
                  <c:v>153854.455166612</c:v>
                </c:pt>
                <c:pt idx="14">
                  <c:v>151138.517569076</c:v>
                </c:pt>
                <c:pt idx="15">
                  <c:v>149744.338320578</c:v>
                </c:pt>
                <c:pt idx="16">
                  <c:v>149202.363386012</c:v>
                </c:pt>
                <c:pt idx="17">
                  <c:v>148343.847431737</c:v>
                </c:pt>
                <c:pt idx="18">
                  <c:v>147618.329180781</c:v>
                </c:pt>
              </c:numCache>
            </c:numRef>
          </c:val>
          <c:smooth val="0"/>
        </c:ser>
        <c:hiLowLines>
          <c:spPr>
            <a:ln>
              <a:noFill/>
            </a:ln>
          </c:spPr>
        </c:hiLowLines>
        <c:upDownBars>
          <c:gapWidth val="150"/>
          <c:upBars/>
          <c:downBars/>
        </c:upDownBars>
        <c:marker val="1"/>
        <c:axId val="66920797"/>
        <c:axId val="81132303"/>
      </c:lineChart>
      <c:catAx>
        <c:axId val="66920797"/>
        <c:scaling>
          <c:orientation val="minMax"/>
        </c:scaling>
        <c:delete val="0"/>
        <c:axPos val="b"/>
        <c:majorTickMark val="none"/>
        <c:minorTickMark val="none"/>
        <c:tickLblPos val="nextTo"/>
        <c:spPr>
          <a:ln w="9360">
            <a:solidFill>
              <a:srgbClr val="000000"/>
            </a:solidFill>
            <a:round/>
          </a:ln>
        </c:spPr>
        <c:crossAx val="81132303"/>
        <c:crosses val="autoZero"/>
        <c:auto val="1"/>
        <c:lblAlgn val="ctr"/>
        <c:lblOffset val="100"/>
      </c:catAx>
      <c:valAx>
        <c:axId val="81132303"/>
        <c:scaling>
          <c:orientation val="minMax"/>
        </c:scaling>
        <c:delete val="0"/>
        <c:axPos val="l"/>
        <c:majorGridlines>
          <c:spPr>
            <a:ln w="9360">
              <a:solidFill>
                <a:srgbClr val="bfbfbf"/>
              </a:solidFill>
              <a:round/>
            </a:ln>
          </c:spPr>
        </c:majorGridlines>
        <c:majorTickMark val="none"/>
        <c:minorTickMark val="none"/>
        <c:tickLblPos val="nextTo"/>
        <c:spPr>
          <a:ln w="6480">
            <a:solidFill>
              <a:srgbClr val="000000"/>
            </a:solidFill>
            <a:round/>
          </a:ln>
        </c:spPr>
        <c:crossAx val="66920797"/>
        <c:crosses val="autoZero"/>
      </c:valAx>
      <c:spPr>
        <a:noFill/>
        <a:ln>
          <a:noFill/>
        </a:ln>
      </c:spPr>
    </c:plotArea>
    <c:plotVisOnly val="1"/>
  </c:chart>
  <c:spPr>
    <a:solidFill>
      <a:srgbClr val="ffffff"/>
    </a:solidFill>
    <a:ln w="9360">
      <a:solidFill>
        <a:srgbClr val="d9d9d9"/>
      </a:solidFill>
      <a:round/>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LibreOffice/4.3.3.2$Linux_X86_64 LibreOffice_project/430m0$Build-2</Application>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2018-04-13T17:38:00Z</dcterms:created>
  <dc:creator>Danna Prather</dc:creator>
  <dc:language>en-US</dc:language>
  <cp:lastModifiedBy>Danna Prather</cp:lastModifiedBy>
  <dcterms:modified xsi:type="dcterms:W3CDTF">2018-04-13T18:21:00Z</dcterms:modified>
  <cp:revision>1</cp:revision>
</cp:coreProperties>
</file>