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footer2.xml" ContentType="application/vnd.openxmlformats-officedocument.wordprocessingml.footer+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2.png" ContentType="image/png"/>
  <Override PartName="/word/media/image1.jpeg" ContentType="image/jpeg"/>
  <Override PartName="/word/document.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40" w:before="0" w:after="202"/>
        <w:ind w:left="-115" w:right="0" w:hanging="0"/>
        <w:jc w:val="center"/>
        <w:rPr>
          <w:rFonts w:ascii="Calibry" w:hAnsi="Calibry"/>
          <w:sz w:val="26"/>
          <w:szCs w:val="26"/>
        </w:rPr>
      </w:pPr>
      <w:r>
        <w:rPr>
          <w:rFonts w:ascii="Calibry" w:hAnsi="Calibry"/>
          <w:sz w:val="26"/>
          <w:szCs w:val="26"/>
        </w:rPr>
      </w:r>
    </w:p>
    <w:p>
      <w:pPr>
        <w:pStyle w:val="Normal"/>
        <w:bidi w:val="0"/>
        <w:spacing w:lineRule="auto" w:line="240" w:before="0" w:after="202"/>
        <w:ind w:left="-115" w:right="0" w:hanging="0"/>
        <w:jc w:val="center"/>
        <w:rPr/>
      </w:pPr>
      <w:r>
        <w:rPr/>
        <w:drawing>
          <wp:inline distT="0" distB="0" distL="0" distR="0">
            <wp:extent cx="2538095" cy="715645"/>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2538095" cy="715645"/>
                    </a:xfrm>
                    <a:prstGeom prst="rect">
                      <a:avLst/>
                    </a:prstGeom>
                  </pic:spPr>
                </pic:pic>
              </a:graphicData>
            </a:graphic>
          </wp:inline>
        </w:drawing>
      </w:r>
    </w:p>
    <w:p>
      <w:pPr>
        <w:pStyle w:val="Normal"/>
        <w:bidi w:val="0"/>
        <w:spacing w:lineRule="auto" w:line="240" w:before="0" w:after="202"/>
        <w:ind w:left="-230" w:right="0" w:hanging="0"/>
        <w:jc w:val="center"/>
        <w:rPr/>
      </w:pPr>
      <w:r>
        <w:rPr>
          <w:rFonts w:ascii="Calibry" w:hAnsi="Calibry"/>
          <w:sz w:val="26"/>
          <w:szCs w:val="26"/>
        </w:rPr>
        <w:t>County Community College</w:t>
        <w:br/>
        <w:t xml:space="preserve">Michael J. Grant Campus </w:t>
      </w:r>
    </w:p>
    <w:p>
      <w:pPr>
        <w:pStyle w:val="Normal"/>
        <w:jc w:val="center"/>
        <w:rPr/>
      </w:pPr>
      <w:r>
        <w:rPr>
          <w:rFonts w:ascii="Calibry" w:hAnsi="Calibry"/>
          <w:sz w:val="48"/>
          <w:szCs w:val="48"/>
        </w:rPr>
        <w:t>Academic Assembly</w:t>
      </w:r>
    </w:p>
    <w:p>
      <w:pPr>
        <w:pStyle w:val="Normal"/>
        <w:jc w:val="center"/>
        <w:rPr/>
      </w:pPr>
      <w:r>
        <w:rPr>
          <w:rFonts w:ascii="Calibry" w:hAnsi="Calibry"/>
          <w:b/>
          <w:bCs/>
          <w:sz w:val="24"/>
          <w:szCs w:val="24"/>
        </w:rPr>
        <w:t>Resolution 2019-09 [27]</w:t>
      </w:r>
    </w:p>
    <w:p>
      <w:pPr>
        <w:pStyle w:val="Normal"/>
        <w:jc w:val="center"/>
        <w:rPr>
          <w:rFonts w:ascii="Calibry" w:hAnsi="Calibry"/>
          <w:b/>
          <w:b/>
          <w:bCs/>
          <w:sz w:val="24"/>
          <w:szCs w:val="24"/>
        </w:rPr>
      </w:pPr>
      <w:r>
        <w:rPr>
          <w:rFonts w:ascii="Calibry" w:hAnsi="Calibry"/>
          <w:b/>
          <w:bCs/>
          <w:sz w:val="24"/>
          <w:szCs w:val="24"/>
        </w:rPr>
      </w:r>
    </w:p>
    <w:p>
      <w:pPr>
        <w:pStyle w:val="Normal"/>
        <w:jc w:val="center"/>
        <w:rPr>
          <w:sz w:val="32"/>
          <w:szCs w:val="32"/>
        </w:rPr>
      </w:pPr>
      <w:r>
        <w:rPr>
          <w:rFonts w:ascii="Calibry" w:hAnsi="Calibry"/>
          <w:b/>
          <w:bCs/>
          <w:sz w:val="32"/>
          <w:szCs w:val="32"/>
        </w:rPr>
        <w:t xml:space="preserve">Endorsing the </w:t>
      </w:r>
    </w:p>
    <w:p>
      <w:pPr>
        <w:pStyle w:val="Normal"/>
        <w:jc w:val="center"/>
        <w:rPr>
          <w:sz w:val="32"/>
          <w:szCs w:val="32"/>
        </w:rPr>
      </w:pPr>
      <w:r>
        <w:rPr>
          <w:rFonts w:ascii="Calibry" w:hAnsi="Calibry"/>
          <w:b/>
          <w:bCs/>
          <w:sz w:val="32"/>
          <w:szCs w:val="32"/>
        </w:rPr>
        <w:t>Faculty Council of Community Colleges’ Resolution</w:t>
      </w:r>
    </w:p>
    <w:p>
      <w:pPr>
        <w:pStyle w:val="Normal"/>
        <w:jc w:val="center"/>
        <w:rPr>
          <w:sz w:val="32"/>
          <w:szCs w:val="32"/>
        </w:rPr>
      </w:pPr>
      <w:r>
        <w:rPr>
          <w:rFonts w:ascii="Calibry" w:hAnsi="Calibry"/>
          <w:b/>
          <w:bCs/>
          <w:sz w:val="32"/>
          <w:szCs w:val="32"/>
        </w:rPr>
        <w:t xml:space="preserve"> </w:t>
      </w:r>
      <w:r>
        <w:rPr>
          <w:rFonts w:ascii="Calibry" w:hAnsi="Calibry"/>
          <w:b/>
          <w:bCs/>
          <w:sz w:val="32"/>
          <w:szCs w:val="32"/>
        </w:rPr>
        <w:t xml:space="preserve">Supporting New Funding Model </w:t>
      </w:r>
    </w:p>
    <w:p>
      <w:pPr>
        <w:pStyle w:val="Normal"/>
        <w:jc w:val="center"/>
        <w:rPr>
          <w:sz w:val="32"/>
          <w:szCs w:val="32"/>
        </w:rPr>
      </w:pPr>
      <w:r>
        <w:rPr>
          <w:rFonts w:ascii="Calibry" w:hAnsi="Calibry"/>
          <w:b/>
          <w:bCs/>
          <w:sz w:val="32"/>
          <w:szCs w:val="32"/>
        </w:rPr>
        <w:t>for the Community Colleges</w:t>
      </w:r>
      <w:r>
        <w:rPr>
          <w:rFonts w:cs="" w:ascii="Calibry" w:hAnsi="Calibry" w:cstheme="majorHAnsi"/>
          <w:b/>
          <w:bCs/>
          <w:sz w:val="32"/>
          <w:szCs w:val="32"/>
        </w:rPr>
        <w:t xml:space="preserve"> </w:t>
      </w:r>
    </w:p>
    <w:p>
      <w:pPr>
        <w:pStyle w:val="Normal"/>
        <w:jc w:val="center"/>
        <w:rPr>
          <w:rFonts w:ascii="Calibry" w:hAnsi="Calibry"/>
          <w:sz w:val="24"/>
          <w:szCs w:val="24"/>
        </w:rPr>
      </w:pPr>
      <w:r>
        <w:rPr>
          <w:rFonts w:ascii="Calibry" w:hAnsi="Calibry"/>
          <w:sz w:val="24"/>
          <w:szCs w:val="24"/>
        </w:rPr>
      </w:r>
    </w:p>
    <w:p>
      <w:pPr>
        <w:pStyle w:val="Normal"/>
        <w:tabs>
          <w:tab w:val="left" w:pos="3032" w:leader="none"/>
        </w:tabs>
        <w:jc w:val="center"/>
        <w:rPr>
          <w:rFonts w:ascii="Calibri" w:hAnsi="Calibri"/>
          <w:sz w:val="24"/>
          <w:szCs w:val="24"/>
        </w:rPr>
      </w:pPr>
      <w:r>
        <w:rPr>
          <w:rFonts w:ascii="Calibri" w:hAnsi="Calibri"/>
          <w:sz w:val="24"/>
          <w:szCs w:val="24"/>
        </w:rPr>
      </w:r>
    </w:p>
    <w:p>
      <w:pPr>
        <w:pStyle w:val="Normal"/>
        <w:tabs>
          <w:tab w:val="left" w:pos="3032" w:leader="none"/>
        </w:tabs>
        <w:jc w:val="both"/>
        <w:rPr>
          <w:rFonts w:ascii="Calibri" w:hAnsi="Calibri"/>
          <w:sz w:val="24"/>
          <w:szCs w:val="24"/>
        </w:rPr>
      </w:pPr>
      <w:r>
        <w:rPr>
          <w:rFonts w:ascii="Calibri" w:hAnsi="Calibri"/>
          <w:b/>
          <w:bCs/>
          <w:sz w:val="24"/>
          <w:szCs w:val="24"/>
        </w:rPr>
        <w:t>Whereas</w:t>
      </w:r>
      <w:r>
        <w:rPr>
          <w:rFonts w:ascii="Calibri" w:hAnsi="Calibri"/>
          <w:b w:val="false"/>
          <w:bCs w:val="false"/>
          <w:sz w:val="24"/>
          <w:szCs w:val="24"/>
        </w:rPr>
        <w:t xml:space="preserve"> the Faculty Council of Community Colleges unanimously approved, on October 5, 2019, a resolution G3</w:t>
      </w:r>
      <w:r>
        <w:rPr>
          <w:rFonts w:cs="" w:ascii="Calibri" w:hAnsi="Calibri" w:cstheme="majorHAnsi"/>
          <w:b w:val="false"/>
          <w:bCs w:val="false"/>
          <w:sz w:val="24"/>
          <w:szCs w:val="24"/>
        </w:rPr>
        <w:t>.2019-2020 (attached below)</w:t>
      </w:r>
      <w:r>
        <w:rPr>
          <w:rFonts w:cs="" w:ascii="Calibri" w:hAnsi="Calibri" w:cstheme="majorHAnsi"/>
          <w:b w:val="false"/>
          <w:bCs w:val="false"/>
          <w:i/>
          <w:iCs/>
          <w:sz w:val="24"/>
          <w:szCs w:val="24"/>
        </w:rPr>
        <w:t xml:space="preserve"> Supporting New Funding Model for the Community Colleges</w:t>
      </w:r>
      <w:r>
        <w:rPr>
          <w:rFonts w:cs="" w:ascii="Calibri" w:hAnsi="Calibri" w:cstheme="majorHAnsi"/>
          <w:b w:val="false"/>
          <w:bCs w:val="false"/>
          <w:sz w:val="24"/>
          <w:szCs w:val="24"/>
        </w:rPr>
        <w:t>; and</w:t>
      </w:r>
    </w:p>
    <w:p>
      <w:pPr>
        <w:pStyle w:val="Normal"/>
        <w:tabs>
          <w:tab w:val="left" w:pos="3032" w:leader="none"/>
        </w:tabs>
        <w:jc w:val="both"/>
        <w:rPr>
          <w:rFonts w:ascii="Calibri" w:hAnsi="Calibri"/>
          <w:sz w:val="24"/>
          <w:szCs w:val="24"/>
        </w:rPr>
      </w:pPr>
      <w:r>
        <w:rPr>
          <w:rFonts w:ascii="Calibri" w:hAnsi="Calibri"/>
          <w:sz w:val="24"/>
          <w:szCs w:val="24"/>
        </w:rPr>
      </w:r>
    </w:p>
    <w:p>
      <w:pPr>
        <w:pStyle w:val="Normal"/>
        <w:tabs>
          <w:tab w:val="left" w:pos="3032" w:leader="none"/>
        </w:tabs>
        <w:jc w:val="both"/>
        <w:rPr>
          <w:rFonts w:ascii="Calibri" w:hAnsi="Calibri"/>
          <w:sz w:val="24"/>
          <w:szCs w:val="24"/>
        </w:rPr>
      </w:pPr>
      <w:r>
        <w:rPr>
          <w:rFonts w:cs="" w:ascii="Calibri" w:hAnsi="Calibri" w:cstheme="majorHAnsi"/>
          <w:b/>
          <w:bCs/>
          <w:sz w:val="24"/>
          <w:szCs w:val="24"/>
        </w:rPr>
        <w:t>Whereas</w:t>
      </w:r>
      <w:r>
        <w:rPr>
          <w:rFonts w:cs="" w:ascii="Calibri" w:hAnsi="Calibri" w:cstheme="majorHAnsi"/>
          <w:b w:val="false"/>
          <w:bCs w:val="false"/>
          <w:sz w:val="24"/>
          <w:szCs w:val="24"/>
        </w:rPr>
        <w:t xml:space="preserve"> the FCCC resolution </w:t>
      </w:r>
      <w:r>
        <w:rPr>
          <w:rFonts w:ascii="Calibri" w:hAnsi="Calibri"/>
          <w:sz w:val="24"/>
          <w:szCs w:val="24"/>
        </w:rPr>
        <w:t>calls for a community college funding model that has a definite base minimum of aid in the form of a permanent funding floor for each campus, plus additional funding commensurate with the enrollment growth a campus achieves, and fully supports the proposal that New York State change the base state aid formula allocation for each community college to be permanently set at 100% of the previous year, or $100 increase per FTE, whichever is greater; and</w:t>
      </w:r>
    </w:p>
    <w:p>
      <w:pPr>
        <w:pStyle w:val="Normal"/>
        <w:tabs>
          <w:tab w:val="left" w:pos="3032" w:leader="none"/>
        </w:tabs>
        <w:bidi w:val="0"/>
        <w:jc w:val="both"/>
        <w:rPr>
          <w:rFonts w:ascii="Calibri" w:hAnsi="Calibri" w:eastAsia="Times New Roman" w:cs="Times New Roman"/>
          <w:color w:val="222222"/>
          <w:sz w:val="24"/>
          <w:szCs w:val="24"/>
          <w:shd w:fill="FFFFFF" w:val="clear"/>
        </w:rPr>
      </w:pPr>
      <w:r>
        <w:rPr>
          <w:rFonts w:eastAsia="Times New Roman" w:cs="Times New Roman" w:ascii="Calibri" w:hAnsi="Calibri"/>
          <w:color w:val="222222"/>
          <w:sz w:val="24"/>
          <w:szCs w:val="24"/>
          <w:shd w:fill="FFFFFF" w:val="clear"/>
        </w:rPr>
      </w:r>
    </w:p>
    <w:p>
      <w:pPr>
        <w:pStyle w:val="Normal"/>
        <w:shd w:val="clear" w:color="auto" w:fill="FFFFFF"/>
        <w:tabs>
          <w:tab w:val="left" w:pos="3032" w:leader="none"/>
        </w:tabs>
        <w:jc w:val="both"/>
        <w:rPr>
          <w:rFonts w:ascii="Calibri" w:hAnsi="Calibri"/>
          <w:sz w:val="24"/>
          <w:szCs w:val="24"/>
        </w:rPr>
      </w:pPr>
      <w:r>
        <w:rPr>
          <w:rFonts w:eastAsia="Times New Roman" w:cs="" w:ascii="Calibri" w:hAnsi="Calibri" w:cstheme="majorHAnsi"/>
          <w:b/>
          <w:bCs/>
          <w:color w:val="222222"/>
          <w:sz w:val="24"/>
          <w:szCs w:val="24"/>
          <w:highlight w:val="white"/>
        </w:rPr>
        <w:t>Whereas</w:t>
      </w:r>
      <w:r>
        <w:rPr>
          <w:rFonts w:eastAsia="Times New Roman" w:cs="" w:ascii="Calibri" w:hAnsi="Calibri" w:cstheme="majorHAnsi"/>
          <w:b w:val="false"/>
          <w:bCs w:val="false"/>
          <w:color w:val="222222"/>
          <w:sz w:val="24"/>
          <w:szCs w:val="24"/>
          <w:highlight w:val="white"/>
        </w:rPr>
        <w:t xml:space="preserve"> </w:t>
      </w:r>
      <w:r>
        <w:rPr>
          <w:rFonts w:eastAsia="Times New Roman" w:cs="Arial" w:ascii="Calibri" w:hAnsi="Calibri"/>
          <w:b w:val="false"/>
          <w:bCs w:val="false"/>
          <w:color w:val="000000"/>
          <w:sz w:val="24"/>
          <w:szCs w:val="24"/>
          <w:highlight w:val="white"/>
        </w:rPr>
        <w:t>the Grant Campus Academic Assembly recognizes the essential importance of equitable and sustainable State funding model; therefore be it</w:t>
      </w:r>
    </w:p>
    <w:p>
      <w:pPr>
        <w:pStyle w:val="Normal"/>
        <w:shd w:val="clear" w:color="auto" w:fill="FFFFFF"/>
        <w:tabs>
          <w:tab w:val="left" w:pos="3032" w:leader="none"/>
        </w:tabs>
        <w:jc w:val="both"/>
        <w:rPr>
          <w:rFonts w:ascii="Calibri" w:hAnsi="Calibri" w:eastAsia="Times New Roman" w:cs="Arial"/>
          <w:b w:val="false"/>
          <w:b w:val="false"/>
          <w:bCs w:val="false"/>
          <w:color w:val="000000"/>
          <w:sz w:val="24"/>
          <w:szCs w:val="24"/>
          <w:highlight w:val="white"/>
        </w:rPr>
      </w:pPr>
      <w:r>
        <w:rPr>
          <w:rFonts w:eastAsia="Times New Roman" w:cs="Arial" w:ascii="Calibri" w:hAnsi="Calibri"/>
          <w:b w:val="false"/>
          <w:bCs w:val="false"/>
          <w:color w:val="000000"/>
          <w:sz w:val="24"/>
          <w:szCs w:val="24"/>
          <w:highlight w:val="white"/>
        </w:rPr>
      </w:r>
    </w:p>
    <w:p>
      <w:pPr>
        <w:pStyle w:val="Normal"/>
        <w:shd w:val="clear" w:color="auto" w:fill="FFFFFF"/>
        <w:tabs>
          <w:tab w:val="left" w:pos="3032" w:leader="none"/>
        </w:tabs>
        <w:jc w:val="both"/>
        <w:rPr>
          <w:rFonts w:ascii="Calibri" w:hAnsi="Calibri" w:eastAsia="Times New Roman" w:cs="Times New Roman"/>
          <w:color w:val="222222"/>
          <w:sz w:val="24"/>
          <w:szCs w:val="24"/>
        </w:rPr>
      </w:pPr>
      <w:r>
        <w:rPr>
          <w:rFonts w:eastAsia="Times New Roman" w:cs="Times New Roman" w:ascii="Calibri" w:hAnsi="Calibri"/>
          <w:color w:val="222222"/>
          <w:sz w:val="24"/>
          <w:szCs w:val="24"/>
        </w:rPr>
      </w:r>
    </w:p>
    <w:p>
      <w:pPr>
        <w:pStyle w:val="Normal"/>
        <w:shd w:val="clear" w:color="auto" w:fill="FFFFFF"/>
        <w:tabs>
          <w:tab w:val="left" w:pos="3032" w:leader="none"/>
        </w:tabs>
        <w:jc w:val="both"/>
        <w:rPr>
          <w:rFonts w:ascii="Calibri" w:hAnsi="Calibri" w:eastAsia="Times New Roman" w:cs="Times New Roman"/>
          <w:color w:val="222222"/>
          <w:sz w:val="24"/>
          <w:szCs w:val="24"/>
        </w:rPr>
      </w:pPr>
      <w:r>
        <w:rPr>
          <w:rFonts w:eastAsia="Times New Roman" w:cs="Times New Roman" w:ascii="Calibri" w:hAnsi="Calibri"/>
          <w:color w:val="222222"/>
          <w:sz w:val="24"/>
          <w:szCs w:val="24"/>
        </w:rPr>
      </w:r>
    </w:p>
    <w:p>
      <w:pPr>
        <w:pStyle w:val="Normal"/>
        <w:tabs>
          <w:tab w:val="left" w:pos="3032" w:leader="none"/>
        </w:tabs>
        <w:jc w:val="both"/>
        <w:rPr>
          <w:rFonts w:ascii="Calibri" w:hAnsi="Calibri"/>
          <w:sz w:val="24"/>
          <w:szCs w:val="24"/>
        </w:rPr>
      </w:pPr>
      <w:r>
        <w:rPr>
          <w:rFonts w:cs="" w:ascii="Calibri" w:hAnsi="Calibri" w:cstheme="majorHAnsi"/>
          <w:b/>
          <w:bCs/>
          <w:sz w:val="24"/>
          <w:szCs w:val="24"/>
        </w:rPr>
        <w:t>Resolved</w:t>
      </w:r>
      <w:r>
        <w:rPr>
          <w:rFonts w:cs="" w:ascii="Calibri" w:hAnsi="Calibri" w:cstheme="majorHAnsi"/>
          <w:b w:val="false"/>
          <w:bCs w:val="false"/>
          <w:sz w:val="24"/>
          <w:szCs w:val="24"/>
        </w:rPr>
        <w:t xml:space="preserve"> that the Grant Campus Academic Assembly endorses the Faculty Council of Community Colleges’ </w:t>
      </w:r>
      <w:r>
        <w:rPr>
          <w:rFonts w:cs="" w:ascii="Calibri" w:hAnsi="Calibri" w:cstheme="majorHAnsi"/>
          <w:b w:val="false"/>
          <w:bCs w:val="false"/>
          <w:i/>
          <w:iCs/>
          <w:sz w:val="24"/>
          <w:szCs w:val="24"/>
        </w:rPr>
        <w:t>Resolution Supporting New Funding Model for the Community Colleges</w:t>
      </w:r>
      <w:r>
        <w:rPr>
          <w:rFonts w:cs="" w:ascii="Calibri" w:hAnsi="Calibri" w:cstheme="majorHAnsi"/>
          <w:b w:val="false"/>
          <w:bCs w:val="false"/>
          <w:sz w:val="24"/>
          <w:szCs w:val="24"/>
        </w:rPr>
        <w:t>.</w:t>
      </w:r>
    </w:p>
    <w:p>
      <w:pPr>
        <w:pStyle w:val="Normal"/>
        <w:tabs>
          <w:tab w:val="left" w:pos="3032" w:leader="none"/>
        </w:tabs>
        <w:jc w:val="both"/>
        <w:rPr>
          <w:rFonts w:ascii="Calibri" w:hAnsi="Calibri"/>
          <w:sz w:val="24"/>
          <w:szCs w:val="24"/>
        </w:rPr>
      </w:pPr>
      <w:r>
        <w:rPr>
          <w:rFonts w:ascii="Calibri" w:hAnsi="Calibri"/>
          <w:sz w:val="24"/>
          <w:szCs w:val="24"/>
        </w:rPr>
      </w:r>
    </w:p>
    <w:p>
      <w:pPr>
        <w:pStyle w:val="Normal"/>
        <w:tabs>
          <w:tab w:val="left" w:pos="3032" w:leader="none"/>
        </w:tabs>
        <w:jc w:val="both"/>
        <w:rPr>
          <w:rFonts w:ascii="Calibri" w:hAnsi="Calibri"/>
          <w:sz w:val="24"/>
          <w:szCs w:val="24"/>
        </w:rPr>
      </w:pPr>
      <w:r>
        <w:rPr>
          <w:rFonts w:ascii="Calibri" w:hAnsi="Calibri"/>
          <w:sz w:val="24"/>
          <w:szCs w:val="24"/>
        </w:rPr>
      </w:r>
    </w:p>
    <w:p>
      <w:pPr>
        <w:pStyle w:val="Normal"/>
        <w:tabs>
          <w:tab w:val="left" w:pos="3032" w:leader="none"/>
        </w:tabs>
        <w:jc w:val="both"/>
        <w:rPr>
          <w:rFonts w:ascii="Calibri" w:hAnsi="Calibri"/>
          <w:sz w:val="24"/>
          <w:szCs w:val="24"/>
        </w:rPr>
      </w:pPr>
      <w:r>
        <w:rPr>
          <w:rFonts w:ascii="Calibri" w:hAnsi="Calibri"/>
          <w:sz w:val="24"/>
          <w:szCs w:val="24"/>
        </w:rPr>
      </w:r>
    </w:p>
    <w:p>
      <w:pPr>
        <w:pStyle w:val="Normal"/>
        <w:jc w:val="both"/>
        <w:rPr>
          <w:rFonts w:ascii="Calibri" w:hAnsi="Calibri"/>
          <w:sz w:val="24"/>
          <w:szCs w:val="24"/>
        </w:rPr>
      </w:pPr>
      <w:r>
        <w:rPr>
          <w:rFonts w:ascii="Calibri" w:hAnsi="Calibri"/>
          <w:sz w:val="24"/>
          <w:szCs w:val="24"/>
        </w:rPr>
      </w:r>
    </w:p>
    <w:p>
      <w:pPr>
        <w:pStyle w:val="Normal"/>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sectPr>
          <w:footerReference w:type="default" r:id="rId3"/>
          <w:type w:val="nextPage"/>
          <w:pgSz w:w="11906" w:h="16838"/>
          <w:pgMar w:left="1134" w:right="1134" w:header="0" w:top="1134" w:footer="1134" w:bottom="1693" w:gutter="0"/>
          <w:pgNumType w:fmt="decimal"/>
          <w:formProt w:val="false"/>
          <w:textDirection w:val="lrTb"/>
          <w:docGrid w:type="default" w:linePitch="240" w:charSpace="4294961151"/>
        </w:sectPr>
        <w:pStyle w:val="Normal"/>
        <w:bidi w:val="0"/>
        <w:spacing w:lineRule="auto" w:line="240" w:before="0" w:after="200"/>
        <w:ind w:right="0" w:hanging="0"/>
        <w:jc w:val="left"/>
        <w:rPr/>
      </w:pPr>
      <w:r>
        <w:rPr>
          <w:rFonts w:ascii="Calibri" w:hAnsi="Calibri"/>
          <w:sz w:val="24"/>
          <w:szCs w:val="24"/>
        </w:rPr>
        <w:t xml:space="preserve">Passed [39-0-0] </w:t>
      </w:r>
      <w:r>
        <w:rPr>
          <w:rFonts w:ascii="Calibri" w:hAnsi="Calibri"/>
          <w:sz w:val="24"/>
          <w:szCs w:val="24"/>
        </w:rPr>
        <w:t>on</w:t>
      </w:r>
      <w:r>
        <w:rPr>
          <w:rFonts w:ascii="Calibri" w:hAnsi="Calibri"/>
          <w:sz w:val="24"/>
          <w:szCs w:val="24"/>
        </w:rPr>
        <w:t xml:space="preserve"> December 10, 2019</w:t>
      </w:r>
    </w:p>
    <w:p>
      <w:pPr>
        <w:pStyle w:val="Normal"/>
        <w:rPr/>
      </w:pPr>
      <w:r>
        <w:rPr/>
        <w:drawing>
          <wp:anchor behindDoc="0" distT="0" distB="0" distL="139700" distR="114300" simplePos="0" locked="0" layoutInCell="1" allowOverlap="1" relativeHeight="2">
            <wp:simplePos x="0" y="0"/>
            <wp:positionH relativeFrom="column">
              <wp:posOffset>2062480</wp:posOffset>
            </wp:positionH>
            <wp:positionV relativeFrom="paragraph">
              <wp:posOffset>-50800</wp:posOffset>
            </wp:positionV>
            <wp:extent cx="1828800" cy="1879600"/>
            <wp:effectExtent l="0" t="0" r="0" b="0"/>
            <wp:wrapSquare wrapText="bothSides"/>
            <wp:docPr id="2" name="Picture 4" descr="logo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logoSmall.png"/>
                    <pic:cNvPicPr>
                      <a:picLocks noChangeAspect="1" noChangeArrowheads="1"/>
                    </pic:cNvPicPr>
                  </pic:nvPicPr>
                  <pic:blipFill>
                    <a:blip r:embed="rId4"/>
                    <a:stretch>
                      <a:fillRect/>
                    </a:stretch>
                  </pic:blipFill>
                  <pic:spPr bwMode="auto">
                    <a:xfrm>
                      <a:off x="0" y="0"/>
                      <a:ext cx="1828800" cy="1879600"/>
                    </a:xfrm>
                    <a:prstGeom prst="rect">
                      <a:avLst/>
                    </a:prstGeom>
                  </pic:spPr>
                </pic:pic>
              </a:graphicData>
            </a:graphic>
          </wp:anchor>
        </w:drawing>
      </w:r>
    </w:p>
    <w:p>
      <w:pPr>
        <w:pStyle w:val="Normal"/>
        <w:rPr/>
      </w:pPr>
      <w:r>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jc w:val="center"/>
        <w:rPr/>
      </w:pPr>
      <w:r>
        <w:rPr>
          <w:rFonts w:cs="Times New Roman" w:ascii="Times New Roman" w:hAnsi="Times New Roman"/>
          <w:b/>
          <w:sz w:val="28"/>
          <w:szCs w:val="28"/>
        </w:rPr>
        <w:t>Faculty Council of Community Colleges</w:t>
      </w:r>
    </w:p>
    <w:p>
      <w:pPr>
        <w:pStyle w:val="Normal"/>
        <w:jc w:val="center"/>
        <w:rPr/>
      </w:pPr>
      <w:r>
        <w:rPr>
          <w:b/>
          <w:sz w:val="28"/>
          <w:szCs w:val="28"/>
        </w:rPr>
        <w:t>Resolution Supporting New Funding Model for the Community Colleges</w:t>
      </w:r>
      <w:r>
        <w:rPr>
          <w:rFonts w:cs="" w:cstheme="majorHAnsi"/>
          <w:b/>
          <w:sz w:val="28"/>
          <w:szCs w:val="28"/>
        </w:rPr>
        <w:t xml:space="preserve"> </w:t>
      </w:r>
    </w:p>
    <w:p>
      <w:pPr>
        <w:pStyle w:val="Normal"/>
        <w:jc w:val="center"/>
        <w:rPr/>
      </w:pPr>
      <w:r>
        <w:rPr>
          <w:rFonts w:cs="" w:cstheme="majorHAnsi"/>
          <w:b/>
          <w:sz w:val="28"/>
          <w:szCs w:val="28"/>
        </w:rPr>
        <w:t>G3.2019-2020</w:t>
      </w:r>
    </w:p>
    <w:p>
      <w:pPr>
        <w:pStyle w:val="Normal"/>
        <w:jc w:val="center"/>
        <w:rPr/>
      </w:pPr>
      <w:bookmarkStart w:id="0" w:name="__DdeLink__2461_1443700845"/>
      <w:bookmarkEnd w:id="0"/>
      <w:r>
        <w:rPr>
          <w:rFonts w:cs="" w:cstheme="majorHAnsi"/>
          <w:b/>
          <w:sz w:val="28"/>
          <w:szCs w:val="28"/>
        </w:rPr>
        <w:t>Passed Unanimously</w:t>
      </w:r>
    </w:p>
    <w:p>
      <w:pPr>
        <w:pStyle w:val="Normal"/>
        <w:jc w:val="center"/>
        <w:rPr/>
      </w:pPr>
      <w:r>
        <w:rPr>
          <w:rFonts w:cs="" w:cstheme="majorHAnsi"/>
          <w:b/>
          <w:sz w:val="28"/>
          <w:szCs w:val="28"/>
        </w:rPr>
        <w:t>October 5, 2019</w:t>
      </w:r>
    </w:p>
    <w:p>
      <w:pPr>
        <w:pStyle w:val="Normal"/>
        <w:jc w:val="center"/>
        <w:rPr>
          <w:rFonts w:cs="" w:cstheme="majorHAnsi"/>
        </w:rPr>
      </w:pPr>
      <w:r>
        <w:rPr>
          <w:rFonts w:cs="" w:cstheme="majorHAnsi"/>
        </w:rPr>
      </w:r>
    </w:p>
    <w:p>
      <w:pPr>
        <w:pStyle w:val="Normal"/>
        <w:rPr/>
      </w:pPr>
      <w:r>
        <w:rPr>
          <w:b/>
        </w:rPr>
        <w:t>WHEREAS</w:t>
      </w:r>
      <w:r>
        <w:rPr/>
        <w:t xml:space="preserve"> the SUNY Board of Trustees has stated that “the 30 community colleges operating under the program of the State University of New York ensure open access to high quality postsecondary education, and contribute significantly to the development of an educated citizenry and skilled work force”; and,</w:t>
      </w:r>
    </w:p>
    <w:p>
      <w:pPr>
        <w:pStyle w:val="Normal"/>
        <w:rPr/>
      </w:pPr>
      <w:r>
        <w:rPr/>
      </w:r>
    </w:p>
    <w:p>
      <w:pPr>
        <w:pStyle w:val="Normal"/>
        <w:rPr/>
      </w:pPr>
      <w:r>
        <w:rPr>
          <w:b/>
        </w:rPr>
        <w:t>WHEREAS</w:t>
      </w:r>
      <w:r>
        <w:rPr/>
        <w:t xml:space="preserve"> the Faculty Council of Community Colleges (FCCC) embraces the SUNY Board of Trustees’ statement and also understands that the increasing needs of both recent high school graduates and post-traditional students seeking to enhance their academic skills and employment opportunities, the need of the region’s business community for qualified employees, the need to create the work force required to catalyze new industry and economic prosperity, and the need for an educated citizenry; and,</w:t>
      </w:r>
    </w:p>
    <w:p>
      <w:pPr>
        <w:pStyle w:val="Normal"/>
        <w:rPr/>
      </w:pPr>
      <w:r>
        <w:rPr/>
      </w:r>
    </w:p>
    <w:p>
      <w:pPr>
        <w:pStyle w:val="Normal"/>
        <w:rPr/>
      </w:pPr>
      <w:r>
        <w:rPr>
          <w:b/>
        </w:rPr>
        <w:t>WHEREAS</w:t>
      </w:r>
      <w:r>
        <w:rPr/>
        <w:t xml:space="preserve"> the SUNY community colleges, through their rigorous Liberal Arts and transfer programs, educate approximately 50% of the transfers to SUNY state-operated colleges and university centers at less than the per-student cost of those institutions, fulfilling the community colleges’ mission to serve as local points of access to higher education as well as to the work force; and,</w:t>
      </w:r>
    </w:p>
    <w:p>
      <w:pPr>
        <w:pStyle w:val="Normal"/>
        <w:rPr/>
      </w:pPr>
      <w:r>
        <w:rPr/>
      </w:r>
    </w:p>
    <w:p>
      <w:pPr>
        <w:pStyle w:val="Normal"/>
        <w:rPr/>
      </w:pPr>
      <w:r>
        <w:rPr>
          <w:b/>
        </w:rPr>
        <w:t>WHEREAS</w:t>
      </w:r>
      <w:r>
        <w:rPr/>
        <w:t xml:space="preserve"> vital statistics show a declining population in almost all of New York State’s counties, and thus a model of funding based solely on FTE is no longer adequate or practical for community colleges in the SUNY system; and,</w:t>
      </w:r>
    </w:p>
    <w:p>
      <w:pPr>
        <w:pStyle w:val="Normal"/>
        <w:rPr/>
      </w:pPr>
      <w:r>
        <w:rPr/>
      </w:r>
    </w:p>
    <w:p>
      <w:pPr>
        <w:pStyle w:val="Normal"/>
        <w:rPr/>
      </w:pPr>
      <w:r>
        <w:rPr>
          <w:b/>
        </w:rPr>
        <w:t>WHEREAS</w:t>
      </w:r>
      <w:r>
        <w:rPr/>
        <w:t xml:space="preserve"> the previous FTE-driven model often resulted in an increased financial burden on community college students due to the colleges’ need to annually raise tuition to make up shortfalls in state funding; and,</w:t>
      </w:r>
    </w:p>
    <w:p>
      <w:pPr>
        <w:pStyle w:val="Normal"/>
        <w:rPr/>
      </w:pPr>
      <w:r>
        <w:rPr/>
      </w:r>
    </w:p>
    <w:p>
      <w:pPr>
        <w:pStyle w:val="Normal"/>
        <w:rPr/>
      </w:pPr>
      <w:r>
        <w:rPr>
          <w:b/>
        </w:rPr>
        <w:t>WHEREAS</w:t>
      </w:r>
      <w:r>
        <w:rPr/>
        <w:t xml:space="preserve"> the State of New York adopted in last year’s budget a new community college funding model, which provided 98% of the previous three-year average funding, or a $100 increase per FTE, whichever was greater; and,</w:t>
      </w:r>
    </w:p>
    <w:p>
      <w:pPr>
        <w:pStyle w:val="Normal"/>
        <w:rPr/>
      </w:pPr>
      <w:r>
        <w:rPr/>
      </w:r>
    </w:p>
    <w:p>
      <w:pPr>
        <w:pStyle w:val="Normal"/>
        <w:rPr/>
      </w:pPr>
      <w:r>
        <w:rPr>
          <w:b/>
        </w:rPr>
        <w:t>WHEREAS</w:t>
      </w:r>
      <w:r>
        <w:rPr/>
        <w:t xml:space="preserve"> due to the increasing costs of college operations, last year’s model did not provide permanence and predictability, nor was it a sustainable funding model; therefore,</w:t>
      </w:r>
    </w:p>
    <w:p>
      <w:pPr>
        <w:pStyle w:val="Normal"/>
        <w:rPr/>
      </w:pPr>
      <w:r>
        <w:rPr/>
      </w:r>
    </w:p>
    <w:p>
      <w:pPr>
        <w:pStyle w:val="Normal"/>
        <w:rPr/>
      </w:pPr>
      <w:r>
        <w:rPr>
          <w:b/>
        </w:rPr>
        <w:t>BE IT RESOLVED</w:t>
      </w:r>
      <w:r>
        <w:rPr/>
        <w:t xml:space="preserve"> that while the FCCC appreciates the adoption of last year’s funding model, it now calls for a community college funding model that has a definite base minimum of aid in the form of a permanent funding floor for each campus, plus additional funding commensurate with the enrollment growth a campus achieves; and, be it further</w:t>
      </w:r>
    </w:p>
    <w:p>
      <w:pPr>
        <w:pStyle w:val="Normal"/>
        <w:rPr/>
      </w:pPr>
      <w:r>
        <w:rPr/>
      </w:r>
    </w:p>
    <w:p>
      <w:pPr>
        <w:pStyle w:val="Normal"/>
        <w:rPr/>
      </w:pPr>
      <w:r>
        <w:rPr>
          <w:b/>
        </w:rPr>
        <w:t>RESOLVED</w:t>
      </w:r>
      <w:r>
        <w:rPr/>
        <w:t xml:space="preserve"> that the FCCC fully supports the proposal that New York State change the base state aid formula allocation for each community college to be permanently set at 100% of the previous year, or $100 increase per FTE, whichever is greater.</w:t>
      </w:r>
    </w:p>
    <w:p>
      <w:pPr>
        <w:pStyle w:val="Normal"/>
        <w:jc w:val="both"/>
        <w:rPr>
          <w:rFonts w:ascii="Calibry" w:hAnsi="Calibry"/>
          <w:sz w:val="24"/>
          <w:szCs w:val="24"/>
        </w:rPr>
      </w:pPr>
      <w:r>
        <w:rPr>
          <w:rFonts w:ascii="Calibry" w:hAnsi="Calibry"/>
          <w:sz w:val="24"/>
          <w:szCs w:val="24"/>
        </w:rPr>
      </w:r>
    </w:p>
    <w:p>
      <w:pPr>
        <w:pStyle w:val="Normal"/>
        <w:jc w:val="both"/>
        <w:rPr>
          <w:rFonts w:ascii="Calibry" w:hAnsi="Calibry"/>
          <w:sz w:val="24"/>
          <w:szCs w:val="24"/>
        </w:rPr>
      </w:pPr>
      <w:r>
        <w:rPr>
          <w:rFonts w:ascii="Calibry" w:hAnsi="Calibry"/>
          <w:sz w:val="24"/>
          <w:szCs w:val="24"/>
        </w:rPr>
      </w:r>
    </w:p>
    <w:p>
      <w:pPr>
        <w:pStyle w:val="Normal"/>
        <w:jc w:val="both"/>
        <w:rPr>
          <w:rFonts w:ascii="Calibry" w:hAnsi="Calibry"/>
          <w:sz w:val="24"/>
          <w:szCs w:val="24"/>
        </w:rPr>
      </w:pPr>
      <w:r>
        <w:rPr>
          <w:rFonts w:ascii="Calibry" w:hAnsi="Calibry"/>
          <w:sz w:val="24"/>
          <w:szCs w:val="24"/>
        </w:rPr>
      </w:r>
    </w:p>
    <w:p>
      <w:pPr>
        <w:pStyle w:val="Normal"/>
        <w:jc w:val="both"/>
        <w:rPr>
          <w:rFonts w:ascii="Calibry" w:hAnsi="Calibry"/>
          <w:sz w:val="24"/>
          <w:szCs w:val="24"/>
        </w:rPr>
      </w:pPr>
      <w:r>
        <w:rPr>
          <w:rFonts w:ascii="Calibry" w:hAnsi="Calibry"/>
          <w:sz w:val="24"/>
          <w:szCs w:val="24"/>
        </w:rPr>
      </w:r>
    </w:p>
    <w:p>
      <w:pPr>
        <w:pStyle w:val="Normal"/>
        <w:jc w:val="both"/>
        <w:rPr/>
      </w:pPr>
      <w:r>
        <w:rPr/>
      </w:r>
    </w:p>
    <w:sectPr>
      <w:footerReference w:type="default" r:id="rId5"/>
      <w:type w:val="nextPage"/>
      <w:pgSz w:w="11906" w:h="16838"/>
      <w:pgMar w:left="1134" w:right="1134" w:header="0" w:top="1134" w:footer="1134" w:bottom="1693"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y">
    <w:charset w:val="01"/>
    <w:family w:val="roman"/>
    <w:pitch w:val="variable"/>
  </w:font>
  <w:font w:name="Liberation Sans">
    <w:altName w:val="Arial"/>
    <w:charset w:val="01"/>
    <w:family w:val="roman"/>
    <w:pitch w:val="variable"/>
  </w:font>
  <w:font w:name="Calibri">
    <w:charset w:val="0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r>
  </w:p>
  <w:p>
    <w:pPr>
      <w:pStyle w:val="Footer"/>
      <w:jc w:val="center"/>
      <w:rPr/>
    </w:pPr>
    <w:r>
      <w:rPr/>
      <w:fldChar w:fldCharType="begin"/>
    </w:r>
    <w:r>
      <w:instrText> PAGE </w:instrText>
    </w:r>
    <w:r>
      <w:fldChar w:fldCharType="separate"/>
    </w:r>
    <w:r>
      <w:t>1</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r>
  </w:p>
  <w:p>
    <w:pPr>
      <w:pStyle w:val="Footer"/>
      <w:jc w:val="center"/>
      <w:rPr/>
    </w:pPr>
    <w:r>
      <w:rPr/>
      <w:fldChar w:fldCharType="begin"/>
    </w:r>
    <w:r>
      <w:instrText> PAGE </w:instrText>
    </w:r>
    <w:r>
      <w:fldChar w:fldCharType="separate"/>
    </w:r>
    <w:r>
      <w:t>3</w:t>
    </w:r>
    <w:r>
      <w:fldChar w:fldCharType="end"/>
    </w:r>
  </w:p>
</w:ftr>
</file>

<file path=word/settings.xml><?xml version="1.0" encoding="utf-8"?>
<w:settings xmlns:w="http://schemas.openxmlformats.org/wordprocessingml/2006/main">
  <w:zoom w:percent="11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Noto Sans Devanagari"/>
        <w:sz w:val="20"/>
        <w:szCs w:val="24"/>
        <w:lang w:val="en-US" w:eastAsia="zh-CN" w:bidi="hi-IN"/>
      </w:rPr>
    </w:rPrDefault>
    <w:pPrDefault>
      <w:pPr/>
    </w:pPrDefault>
  </w:docDefaults>
  <w:style w:type="paragraph" w:styleId="Normal">
    <w:name w:val="Normal"/>
    <w:qFormat/>
    <w:pPr>
      <w:widowControl/>
      <w:bidi w:val="0"/>
      <w:jc w:val="left"/>
    </w:pPr>
    <w:rPr>
      <w:rFonts w:ascii="Liberation Serif" w:hAnsi="Liberation Serif" w:eastAsia="Noto Sans CJK SC Regular" w:cs="Noto Sans Devanagari"/>
      <w:color w:val="00000A"/>
      <w:sz w:val="24"/>
      <w:szCs w:val="24"/>
      <w:lang w:val="en-US" w:eastAsia="zh-CN" w:bidi="hi-IN"/>
    </w:rPr>
  </w:style>
  <w:style w:type="paragraph" w:styleId="Heading1">
    <w:name w:val="Heading 1"/>
    <w:basedOn w:val="Heading"/>
    <w:qFormat/>
    <w:pPr/>
    <w:rPr/>
  </w:style>
  <w:style w:type="character" w:styleId="ListLabel433">
    <w:name w:val="ListLabel 433"/>
    <w:qFormat/>
    <w:rPr>
      <w:rFonts w:cs="OpenSymbol"/>
      <w:b w:val="false"/>
      <w:sz w:val="23"/>
    </w:rPr>
  </w:style>
  <w:style w:type="character" w:styleId="ListLabel434">
    <w:name w:val="ListLabel 434"/>
    <w:qFormat/>
    <w:rPr>
      <w:rFonts w:cs="OpenSymbol"/>
    </w:rPr>
  </w:style>
  <w:style w:type="character" w:styleId="ListLabel435">
    <w:name w:val="ListLabel 435"/>
    <w:qFormat/>
    <w:rPr>
      <w:rFonts w:cs="OpenSymbol"/>
    </w:rPr>
  </w:style>
  <w:style w:type="character" w:styleId="ListLabel436">
    <w:name w:val="ListLabel 436"/>
    <w:qFormat/>
    <w:rPr>
      <w:rFonts w:cs="OpenSymbol"/>
    </w:rPr>
  </w:style>
  <w:style w:type="character" w:styleId="ListLabel437">
    <w:name w:val="ListLabel 437"/>
    <w:qFormat/>
    <w:rPr>
      <w:rFonts w:cs="OpenSymbol"/>
    </w:rPr>
  </w:style>
  <w:style w:type="character" w:styleId="ListLabel438">
    <w:name w:val="ListLabel 438"/>
    <w:qFormat/>
    <w:rPr>
      <w:rFonts w:cs="OpenSymbol"/>
    </w:rPr>
  </w:style>
  <w:style w:type="character" w:styleId="ListLabel439">
    <w:name w:val="ListLabel 439"/>
    <w:qFormat/>
    <w:rPr>
      <w:rFonts w:cs="OpenSymbol"/>
    </w:rPr>
  </w:style>
  <w:style w:type="character" w:styleId="ListLabel440">
    <w:name w:val="ListLabel 440"/>
    <w:qFormat/>
    <w:rPr>
      <w:rFonts w:cs="OpenSymbol"/>
    </w:rPr>
  </w:style>
  <w:style w:type="character" w:styleId="ListLabel441">
    <w:name w:val="ListLabel 441"/>
    <w:qFormat/>
    <w:rPr>
      <w:rFonts w:cs="OpenSymbol"/>
    </w:rPr>
  </w:style>
  <w:style w:type="character" w:styleId="ListLabel442">
    <w:name w:val="ListLabel 442"/>
    <w:qFormat/>
    <w:rPr>
      <w:rFonts w:cs="OpenSymbol"/>
      <w:sz w:val="23"/>
    </w:rPr>
  </w:style>
  <w:style w:type="character" w:styleId="ListLabel443">
    <w:name w:val="ListLabel 443"/>
    <w:qFormat/>
    <w:rPr>
      <w:rFonts w:cs="OpenSymbol"/>
    </w:rPr>
  </w:style>
  <w:style w:type="character" w:styleId="ListLabel444">
    <w:name w:val="ListLabel 444"/>
    <w:qFormat/>
    <w:rPr>
      <w:rFonts w:cs="OpenSymbol"/>
    </w:rPr>
  </w:style>
  <w:style w:type="character" w:styleId="ListLabel445">
    <w:name w:val="ListLabel 445"/>
    <w:qFormat/>
    <w:rPr>
      <w:rFonts w:cs="OpenSymbol"/>
    </w:rPr>
  </w:style>
  <w:style w:type="character" w:styleId="ListLabel446">
    <w:name w:val="ListLabel 446"/>
    <w:qFormat/>
    <w:rPr>
      <w:rFonts w:cs="OpenSymbol"/>
    </w:rPr>
  </w:style>
  <w:style w:type="character" w:styleId="ListLabel447">
    <w:name w:val="ListLabel 447"/>
    <w:qFormat/>
    <w:rPr>
      <w:rFonts w:cs="OpenSymbol"/>
    </w:rPr>
  </w:style>
  <w:style w:type="character" w:styleId="ListLabel448">
    <w:name w:val="ListLabel 448"/>
    <w:qFormat/>
    <w:rPr>
      <w:rFonts w:cs="OpenSymbol"/>
    </w:rPr>
  </w:style>
  <w:style w:type="character" w:styleId="ListLabel449">
    <w:name w:val="ListLabel 449"/>
    <w:qFormat/>
    <w:rPr>
      <w:rFonts w:cs="OpenSymbol"/>
    </w:rPr>
  </w:style>
  <w:style w:type="character" w:styleId="ListLabel450">
    <w:name w:val="ListLabel 450"/>
    <w:qFormat/>
    <w:rPr>
      <w:rFonts w:cs="OpenSymbol"/>
    </w:rPr>
  </w:style>
  <w:style w:type="character" w:styleId="ListLabel451">
    <w:name w:val="ListLabel 451"/>
    <w:qFormat/>
    <w:rPr>
      <w:rFonts w:ascii="Calibry" w:hAnsi="Calibry" w:cs="OpenSymbol"/>
      <w:sz w:val="24"/>
    </w:rPr>
  </w:style>
  <w:style w:type="character" w:styleId="ListLabel452">
    <w:name w:val="ListLabel 452"/>
    <w:qFormat/>
    <w:rPr>
      <w:rFonts w:cs="OpenSymbol"/>
    </w:rPr>
  </w:style>
  <w:style w:type="character" w:styleId="ListLabel453">
    <w:name w:val="ListLabel 453"/>
    <w:qFormat/>
    <w:rPr>
      <w:rFonts w:cs="OpenSymbol"/>
    </w:rPr>
  </w:style>
  <w:style w:type="character" w:styleId="ListLabel454">
    <w:name w:val="ListLabel 454"/>
    <w:qFormat/>
    <w:rPr>
      <w:rFonts w:cs="OpenSymbol"/>
    </w:rPr>
  </w:style>
  <w:style w:type="character" w:styleId="ListLabel455">
    <w:name w:val="ListLabel 455"/>
    <w:qFormat/>
    <w:rPr>
      <w:rFonts w:cs="OpenSymbol"/>
    </w:rPr>
  </w:style>
  <w:style w:type="character" w:styleId="ListLabel456">
    <w:name w:val="ListLabel 456"/>
    <w:qFormat/>
    <w:rPr>
      <w:rFonts w:cs="OpenSymbol"/>
    </w:rPr>
  </w:style>
  <w:style w:type="character" w:styleId="ListLabel457">
    <w:name w:val="ListLabel 457"/>
    <w:qFormat/>
    <w:rPr>
      <w:rFonts w:cs="OpenSymbol"/>
    </w:rPr>
  </w:style>
  <w:style w:type="character" w:styleId="ListLabel458">
    <w:name w:val="ListLabel 458"/>
    <w:qFormat/>
    <w:rPr>
      <w:rFonts w:cs="OpenSymbol"/>
    </w:rPr>
  </w:style>
  <w:style w:type="character" w:styleId="ListLabel459">
    <w:name w:val="ListLabel 459"/>
    <w:qFormat/>
    <w:rPr>
      <w:rFonts w:cs="OpenSymbol"/>
    </w:rPr>
  </w:style>
  <w:style w:type="character" w:styleId="InternetLink">
    <w:name w:val="Internet Link"/>
    <w:rPr>
      <w:color w:val="000080"/>
      <w:u w:val="single"/>
      <w:lang w:val="zxx" w:eastAsia="zxx" w:bidi="zxx"/>
    </w:rPr>
  </w:style>
  <w:style w:type="character" w:styleId="VisitedInternetLink">
    <w:name w:val="Visited Internet Link"/>
    <w:rPr>
      <w:color w:val="800000"/>
      <w:u w:val="single"/>
      <w:lang w:val="zxx" w:eastAsia="zxx" w:bidi="zxx"/>
    </w:rPr>
  </w:style>
  <w:style w:type="character" w:styleId="FootnoteAnchor">
    <w:name w:val="Footnote Anchor"/>
    <w:rPr>
      <w:vertAlign w:val="superscript"/>
    </w:rPr>
  </w:style>
  <w:style w:type="character" w:styleId="FootnoteCharacters">
    <w:name w:val="Footnote Characters"/>
    <w:qFormat/>
    <w:rPr/>
  </w:style>
  <w:style w:type="character" w:styleId="EndnoteAnchor">
    <w:name w:val="Endnote Anchor"/>
    <w:rPr>
      <w:vertAlign w:val="superscript"/>
    </w:rPr>
  </w:style>
  <w:style w:type="character" w:styleId="EndnoteCharacters">
    <w:name w:val="Endnote Characters"/>
    <w:qFormat/>
    <w:rPr/>
  </w:style>
  <w:style w:type="character" w:styleId="ListLabel460">
    <w:name w:val="ListLabel 460"/>
    <w:qFormat/>
    <w:rPr>
      <w:rFonts w:cs="OpenSymbol"/>
      <w:b w:val="false"/>
      <w:sz w:val="23"/>
    </w:rPr>
  </w:style>
  <w:style w:type="character" w:styleId="ListLabel461">
    <w:name w:val="ListLabel 461"/>
    <w:qFormat/>
    <w:rPr>
      <w:rFonts w:cs="OpenSymbol"/>
    </w:rPr>
  </w:style>
  <w:style w:type="character" w:styleId="ListLabel462">
    <w:name w:val="ListLabel 462"/>
    <w:qFormat/>
    <w:rPr>
      <w:rFonts w:cs="OpenSymbol"/>
    </w:rPr>
  </w:style>
  <w:style w:type="character" w:styleId="ListLabel463">
    <w:name w:val="ListLabel 463"/>
    <w:qFormat/>
    <w:rPr>
      <w:rFonts w:cs="OpenSymbol"/>
    </w:rPr>
  </w:style>
  <w:style w:type="character" w:styleId="ListLabel464">
    <w:name w:val="ListLabel 464"/>
    <w:qFormat/>
    <w:rPr>
      <w:rFonts w:cs="OpenSymbol"/>
    </w:rPr>
  </w:style>
  <w:style w:type="character" w:styleId="ListLabel465">
    <w:name w:val="ListLabel 465"/>
    <w:qFormat/>
    <w:rPr>
      <w:rFonts w:cs="OpenSymbol"/>
    </w:rPr>
  </w:style>
  <w:style w:type="character" w:styleId="ListLabel466">
    <w:name w:val="ListLabel 466"/>
    <w:qFormat/>
    <w:rPr>
      <w:rFonts w:cs="OpenSymbol"/>
    </w:rPr>
  </w:style>
  <w:style w:type="character" w:styleId="ListLabel467">
    <w:name w:val="ListLabel 467"/>
    <w:qFormat/>
    <w:rPr>
      <w:rFonts w:cs="OpenSymbol"/>
    </w:rPr>
  </w:style>
  <w:style w:type="character" w:styleId="ListLabel468">
    <w:name w:val="ListLabel 468"/>
    <w:qFormat/>
    <w:rPr>
      <w:rFonts w:cs="OpenSymbol"/>
    </w:rPr>
  </w:style>
  <w:style w:type="character" w:styleId="ListLabel469">
    <w:name w:val="ListLabel 469"/>
    <w:qFormat/>
    <w:rPr>
      <w:rFonts w:cs="OpenSymbol"/>
      <w:sz w:val="23"/>
    </w:rPr>
  </w:style>
  <w:style w:type="character" w:styleId="ListLabel470">
    <w:name w:val="ListLabel 470"/>
    <w:qFormat/>
    <w:rPr>
      <w:rFonts w:cs="OpenSymbol"/>
    </w:rPr>
  </w:style>
  <w:style w:type="character" w:styleId="ListLabel471">
    <w:name w:val="ListLabel 471"/>
    <w:qFormat/>
    <w:rPr>
      <w:rFonts w:cs="OpenSymbol"/>
    </w:rPr>
  </w:style>
  <w:style w:type="character" w:styleId="ListLabel472">
    <w:name w:val="ListLabel 472"/>
    <w:qFormat/>
    <w:rPr>
      <w:rFonts w:cs="OpenSymbol"/>
    </w:rPr>
  </w:style>
  <w:style w:type="character" w:styleId="ListLabel473">
    <w:name w:val="ListLabel 473"/>
    <w:qFormat/>
    <w:rPr>
      <w:rFonts w:cs="OpenSymbol"/>
    </w:rPr>
  </w:style>
  <w:style w:type="character" w:styleId="ListLabel474">
    <w:name w:val="ListLabel 474"/>
    <w:qFormat/>
    <w:rPr>
      <w:rFonts w:cs="OpenSymbol"/>
    </w:rPr>
  </w:style>
  <w:style w:type="character" w:styleId="ListLabel475">
    <w:name w:val="ListLabel 475"/>
    <w:qFormat/>
    <w:rPr>
      <w:rFonts w:cs="OpenSymbol"/>
    </w:rPr>
  </w:style>
  <w:style w:type="character" w:styleId="ListLabel476">
    <w:name w:val="ListLabel 476"/>
    <w:qFormat/>
    <w:rPr>
      <w:rFonts w:cs="OpenSymbol"/>
    </w:rPr>
  </w:style>
  <w:style w:type="character" w:styleId="ListLabel477">
    <w:name w:val="ListLabel 477"/>
    <w:qFormat/>
    <w:rPr>
      <w:rFonts w:cs="OpenSymbol"/>
    </w:rPr>
  </w:style>
  <w:style w:type="character" w:styleId="ListLabel478">
    <w:name w:val="ListLabel 478"/>
    <w:qFormat/>
    <w:rPr>
      <w:rFonts w:cs="OpenSymbol"/>
      <w:sz w:val="24"/>
    </w:rPr>
  </w:style>
  <w:style w:type="character" w:styleId="ListLabel479">
    <w:name w:val="ListLabel 479"/>
    <w:qFormat/>
    <w:rPr>
      <w:rFonts w:cs="OpenSymbol"/>
    </w:rPr>
  </w:style>
  <w:style w:type="character" w:styleId="ListLabel480">
    <w:name w:val="ListLabel 480"/>
    <w:qFormat/>
    <w:rPr>
      <w:rFonts w:cs="OpenSymbol"/>
    </w:rPr>
  </w:style>
  <w:style w:type="character" w:styleId="ListLabel481">
    <w:name w:val="ListLabel 481"/>
    <w:qFormat/>
    <w:rPr>
      <w:rFonts w:cs="OpenSymbol"/>
    </w:rPr>
  </w:style>
  <w:style w:type="character" w:styleId="ListLabel482">
    <w:name w:val="ListLabel 482"/>
    <w:qFormat/>
    <w:rPr>
      <w:rFonts w:cs="OpenSymbol"/>
    </w:rPr>
  </w:style>
  <w:style w:type="character" w:styleId="ListLabel483">
    <w:name w:val="ListLabel 483"/>
    <w:qFormat/>
    <w:rPr>
      <w:rFonts w:cs="OpenSymbol"/>
    </w:rPr>
  </w:style>
  <w:style w:type="character" w:styleId="ListLabel484">
    <w:name w:val="ListLabel 484"/>
    <w:qFormat/>
    <w:rPr>
      <w:rFonts w:cs="OpenSymbol"/>
    </w:rPr>
  </w:style>
  <w:style w:type="character" w:styleId="ListLabel485">
    <w:name w:val="ListLabel 485"/>
    <w:qFormat/>
    <w:rPr>
      <w:rFonts w:cs="OpenSymbol"/>
    </w:rPr>
  </w:style>
  <w:style w:type="character" w:styleId="ListLabel486">
    <w:name w:val="ListLabel 486"/>
    <w:qFormat/>
    <w:rPr>
      <w:rFonts w:cs="OpenSymbol"/>
    </w:rPr>
  </w:style>
  <w:style w:type="character" w:styleId="ListLabel487">
    <w:name w:val="ListLabel 487"/>
    <w:qFormat/>
    <w:rPr>
      <w:rFonts w:cs="OpenSymbol"/>
      <w:b w:val="false"/>
      <w:sz w:val="23"/>
    </w:rPr>
  </w:style>
  <w:style w:type="character" w:styleId="ListLabel488">
    <w:name w:val="ListLabel 488"/>
    <w:qFormat/>
    <w:rPr>
      <w:rFonts w:cs="OpenSymbol"/>
    </w:rPr>
  </w:style>
  <w:style w:type="character" w:styleId="ListLabel489">
    <w:name w:val="ListLabel 489"/>
    <w:qFormat/>
    <w:rPr>
      <w:rFonts w:cs="OpenSymbol"/>
    </w:rPr>
  </w:style>
  <w:style w:type="character" w:styleId="ListLabel490">
    <w:name w:val="ListLabel 490"/>
    <w:qFormat/>
    <w:rPr>
      <w:rFonts w:cs="OpenSymbol"/>
    </w:rPr>
  </w:style>
  <w:style w:type="character" w:styleId="ListLabel491">
    <w:name w:val="ListLabel 491"/>
    <w:qFormat/>
    <w:rPr>
      <w:rFonts w:cs="OpenSymbol"/>
    </w:rPr>
  </w:style>
  <w:style w:type="character" w:styleId="ListLabel492">
    <w:name w:val="ListLabel 492"/>
    <w:qFormat/>
    <w:rPr>
      <w:rFonts w:cs="OpenSymbol"/>
    </w:rPr>
  </w:style>
  <w:style w:type="character" w:styleId="ListLabel493">
    <w:name w:val="ListLabel 493"/>
    <w:qFormat/>
    <w:rPr>
      <w:rFonts w:cs="OpenSymbol"/>
    </w:rPr>
  </w:style>
  <w:style w:type="character" w:styleId="ListLabel494">
    <w:name w:val="ListLabel 494"/>
    <w:qFormat/>
    <w:rPr>
      <w:rFonts w:cs="OpenSymbol"/>
    </w:rPr>
  </w:style>
  <w:style w:type="character" w:styleId="ListLabel495">
    <w:name w:val="ListLabel 495"/>
    <w:qFormat/>
    <w:rPr>
      <w:rFonts w:cs="OpenSymbol"/>
    </w:rPr>
  </w:style>
  <w:style w:type="character" w:styleId="ListLabel496">
    <w:name w:val="ListLabel 496"/>
    <w:qFormat/>
    <w:rPr>
      <w:rFonts w:cs="OpenSymbol"/>
      <w:sz w:val="23"/>
    </w:rPr>
  </w:style>
  <w:style w:type="character" w:styleId="ListLabel497">
    <w:name w:val="ListLabel 497"/>
    <w:qFormat/>
    <w:rPr>
      <w:rFonts w:cs="OpenSymbol"/>
    </w:rPr>
  </w:style>
  <w:style w:type="character" w:styleId="ListLabel498">
    <w:name w:val="ListLabel 498"/>
    <w:qFormat/>
    <w:rPr>
      <w:rFonts w:cs="OpenSymbol"/>
    </w:rPr>
  </w:style>
  <w:style w:type="character" w:styleId="ListLabel499">
    <w:name w:val="ListLabel 499"/>
    <w:qFormat/>
    <w:rPr>
      <w:rFonts w:cs="OpenSymbol"/>
    </w:rPr>
  </w:style>
  <w:style w:type="character" w:styleId="ListLabel500">
    <w:name w:val="ListLabel 500"/>
    <w:qFormat/>
    <w:rPr>
      <w:rFonts w:cs="OpenSymbol"/>
    </w:rPr>
  </w:style>
  <w:style w:type="character" w:styleId="ListLabel501">
    <w:name w:val="ListLabel 501"/>
    <w:qFormat/>
    <w:rPr>
      <w:rFonts w:cs="OpenSymbol"/>
    </w:rPr>
  </w:style>
  <w:style w:type="character" w:styleId="ListLabel502">
    <w:name w:val="ListLabel 502"/>
    <w:qFormat/>
    <w:rPr>
      <w:rFonts w:cs="OpenSymbol"/>
    </w:rPr>
  </w:style>
  <w:style w:type="character" w:styleId="ListLabel503">
    <w:name w:val="ListLabel 503"/>
    <w:qFormat/>
    <w:rPr>
      <w:rFonts w:cs="OpenSymbol"/>
    </w:rPr>
  </w:style>
  <w:style w:type="character" w:styleId="ListLabel504">
    <w:name w:val="ListLabel 504"/>
    <w:qFormat/>
    <w:rPr>
      <w:rFonts w:cs="OpenSymbol"/>
    </w:rPr>
  </w:style>
  <w:style w:type="character" w:styleId="ListLabel505">
    <w:name w:val="ListLabel 505"/>
    <w:qFormat/>
    <w:rPr>
      <w:rFonts w:cs="OpenSymbol"/>
      <w:sz w:val="24"/>
    </w:rPr>
  </w:style>
  <w:style w:type="character" w:styleId="ListLabel506">
    <w:name w:val="ListLabel 506"/>
    <w:qFormat/>
    <w:rPr>
      <w:rFonts w:cs="OpenSymbol"/>
    </w:rPr>
  </w:style>
  <w:style w:type="character" w:styleId="ListLabel507">
    <w:name w:val="ListLabel 507"/>
    <w:qFormat/>
    <w:rPr>
      <w:rFonts w:cs="OpenSymbol"/>
    </w:rPr>
  </w:style>
  <w:style w:type="character" w:styleId="ListLabel508">
    <w:name w:val="ListLabel 508"/>
    <w:qFormat/>
    <w:rPr>
      <w:rFonts w:cs="OpenSymbol"/>
    </w:rPr>
  </w:style>
  <w:style w:type="character" w:styleId="ListLabel509">
    <w:name w:val="ListLabel 509"/>
    <w:qFormat/>
    <w:rPr>
      <w:rFonts w:cs="OpenSymbol"/>
    </w:rPr>
  </w:style>
  <w:style w:type="character" w:styleId="ListLabel510">
    <w:name w:val="ListLabel 510"/>
    <w:qFormat/>
    <w:rPr>
      <w:rFonts w:cs="OpenSymbol"/>
    </w:rPr>
  </w:style>
  <w:style w:type="character" w:styleId="ListLabel511">
    <w:name w:val="ListLabel 511"/>
    <w:qFormat/>
    <w:rPr>
      <w:rFonts w:cs="OpenSymbol"/>
    </w:rPr>
  </w:style>
  <w:style w:type="character" w:styleId="ListLabel512">
    <w:name w:val="ListLabel 512"/>
    <w:qFormat/>
    <w:rPr>
      <w:rFonts w:cs="OpenSymbol"/>
    </w:rPr>
  </w:style>
  <w:style w:type="character" w:styleId="ListLabel513">
    <w:name w:val="ListLabel 513"/>
    <w:qFormat/>
    <w:rPr>
      <w:rFonts w:cs="OpenSymbol"/>
    </w:rPr>
  </w:style>
  <w:style w:type="character" w:styleId="ListLabel514">
    <w:name w:val="ListLabel 514"/>
    <w:qFormat/>
    <w:rPr>
      <w:rFonts w:cs="OpenSymbol"/>
      <w:b w:val="false"/>
      <w:sz w:val="23"/>
    </w:rPr>
  </w:style>
  <w:style w:type="character" w:styleId="ListLabel515">
    <w:name w:val="ListLabel 515"/>
    <w:qFormat/>
    <w:rPr>
      <w:rFonts w:cs="OpenSymbol"/>
    </w:rPr>
  </w:style>
  <w:style w:type="character" w:styleId="ListLabel516">
    <w:name w:val="ListLabel 516"/>
    <w:qFormat/>
    <w:rPr>
      <w:rFonts w:cs="OpenSymbol"/>
    </w:rPr>
  </w:style>
  <w:style w:type="character" w:styleId="ListLabel517">
    <w:name w:val="ListLabel 517"/>
    <w:qFormat/>
    <w:rPr>
      <w:rFonts w:cs="OpenSymbol"/>
    </w:rPr>
  </w:style>
  <w:style w:type="character" w:styleId="ListLabel518">
    <w:name w:val="ListLabel 518"/>
    <w:qFormat/>
    <w:rPr>
      <w:rFonts w:cs="OpenSymbol"/>
    </w:rPr>
  </w:style>
  <w:style w:type="character" w:styleId="ListLabel519">
    <w:name w:val="ListLabel 519"/>
    <w:qFormat/>
    <w:rPr>
      <w:rFonts w:cs="OpenSymbol"/>
    </w:rPr>
  </w:style>
  <w:style w:type="character" w:styleId="ListLabel520">
    <w:name w:val="ListLabel 520"/>
    <w:qFormat/>
    <w:rPr>
      <w:rFonts w:cs="OpenSymbol"/>
    </w:rPr>
  </w:style>
  <w:style w:type="character" w:styleId="ListLabel521">
    <w:name w:val="ListLabel 521"/>
    <w:qFormat/>
    <w:rPr>
      <w:rFonts w:cs="OpenSymbol"/>
    </w:rPr>
  </w:style>
  <w:style w:type="character" w:styleId="ListLabel522">
    <w:name w:val="ListLabel 522"/>
    <w:qFormat/>
    <w:rPr>
      <w:rFonts w:cs="OpenSymbol"/>
    </w:rPr>
  </w:style>
  <w:style w:type="character" w:styleId="ListLabel523">
    <w:name w:val="ListLabel 523"/>
    <w:qFormat/>
    <w:rPr>
      <w:rFonts w:cs="OpenSymbol"/>
      <w:sz w:val="23"/>
    </w:rPr>
  </w:style>
  <w:style w:type="character" w:styleId="ListLabel524">
    <w:name w:val="ListLabel 524"/>
    <w:qFormat/>
    <w:rPr>
      <w:rFonts w:cs="OpenSymbol"/>
    </w:rPr>
  </w:style>
  <w:style w:type="character" w:styleId="ListLabel525">
    <w:name w:val="ListLabel 525"/>
    <w:qFormat/>
    <w:rPr>
      <w:rFonts w:cs="OpenSymbol"/>
    </w:rPr>
  </w:style>
  <w:style w:type="character" w:styleId="ListLabel526">
    <w:name w:val="ListLabel 526"/>
    <w:qFormat/>
    <w:rPr>
      <w:rFonts w:cs="OpenSymbol"/>
    </w:rPr>
  </w:style>
  <w:style w:type="character" w:styleId="ListLabel527">
    <w:name w:val="ListLabel 527"/>
    <w:qFormat/>
    <w:rPr>
      <w:rFonts w:cs="OpenSymbol"/>
    </w:rPr>
  </w:style>
  <w:style w:type="character" w:styleId="ListLabel528">
    <w:name w:val="ListLabel 528"/>
    <w:qFormat/>
    <w:rPr>
      <w:rFonts w:cs="OpenSymbol"/>
    </w:rPr>
  </w:style>
  <w:style w:type="character" w:styleId="ListLabel529">
    <w:name w:val="ListLabel 529"/>
    <w:qFormat/>
    <w:rPr>
      <w:rFonts w:cs="OpenSymbol"/>
    </w:rPr>
  </w:style>
  <w:style w:type="character" w:styleId="ListLabel530">
    <w:name w:val="ListLabel 530"/>
    <w:qFormat/>
    <w:rPr>
      <w:rFonts w:cs="OpenSymbol"/>
    </w:rPr>
  </w:style>
  <w:style w:type="character" w:styleId="ListLabel531">
    <w:name w:val="ListLabel 531"/>
    <w:qFormat/>
    <w:rPr>
      <w:rFonts w:cs="OpenSymbol"/>
    </w:rPr>
  </w:style>
  <w:style w:type="character" w:styleId="ListLabel532">
    <w:name w:val="ListLabel 532"/>
    <w:qFormat/>
    <w:rPr>
      <w:rFonts w:cs="OpenSymbol"/>
      <w:sz w:val="24"/>
    </w:rPr>
  </w:style>
  <w:style w:type="character" w:styleId="ListLabel533">
    <w:name w:val="ListLabel 533"/>
    <w:qFormat/>
    <w:rPr>
      <w:rFonts w:cs="OpenSymbol"/>
    </w:rPr>
  </w:style>
  <w:style w:type="character" w:styleId="ListLabel534">
    <w:name w:val="ListLabel 534"/>
    <w:qFormat/>
    <w:rPr>
      <w:rFonts w:cs="OpenSymbol"/>
    </w:rPr>
  </w:style>
  <w:style w:type="character" w:styleId="ListLabel535">
    <w:name w:val="ListLabel 535"/>
    <w:qFormat/>
    <w:rPr>
      <w:rFonts w:cs="OpenSymbol"/>
    </w:rPr>
  </w:style>
  <w:style w:type="character" w:styleId="ListLabel536">
    <w:name w:val="ListLabel 536"/>
    <w:qFormat/>
    <w:rPr>
      <w:rFonts w:cs="OpenSymbol"/>
    </w:rPr>
  </w:style>
  <w:style w:type="character" w:styleId="ListLabel537">
    <w:name w:val="ListLabel 537"/>
    <w:qFormat/>
    <w:rPr>
      <w:rFonts w:cs="OpenSymbol"/>
    </w:rPr>
  </w:style>
  <w:style w:type="character" w:styleId="ListLabel538">
    <w:name w:val="ListLabel 538"/>
    <w:qFormat/>
    <w:rPr>
      <w:rFonts w:cs="OpenSymbol"/>
    </w:rPr>
  </w:style>
  <w:style w:type="character" w:styleId="ListLabel539">
    <w:name w:val="ListLabel 539"/>
    <w:qFormat/>
    <w:rPr>
      <w:rFonts w:cs="OpenSymbol"/>
    </w:rPr>
  </w:style>
  <w:style w:type="character" w:styleId="ListLabel540">
    <w:name w:val="ListLabel 540"/>
    <w:qFormat/>
    <w:rPr>
      <w:rFonts w:cs="OpenSymbol"/>
    </w:rPr>
  </w:style>
  <w:style w:type="character" w:styleId="ListLabel541">
    <w:name w:val="ListLabel 541"/>
    <w:qFormat/>
    <w:rPr>
      <w:rFonts w:cs="OpenSymbol"/>
      <w:b w:val="false"/>
      <w:sz w:val="23"/>
    </w:rPr>
  </w:style>
  <w:style w:type="character" w:styleId="ListLabel542">
    <w:name w:val="ListLabel 542"/>
    <w:qFormat/>
    <w:rPr>
      <w:rFonts w:cs="OpenSymbol"/>
    </w:rPr>
  </w:style>
  <w:style w:type="character" w:styleId="ListLabel543">
    <w:name w:val="ListLabel 543"/>
    <w:qFormat/>
    <w:rPr>
      <w:rFonts w:cs="OpenSymbol"/>
    </w:rPr>
  </w:style>
  <w:style w:type="character" w:styleId="ListLabel544">
    <w:name w:val="ListLabel 544"/>
    <w:qFormat/>
    <w:rPr>
      <w:rFonts w:cs="OpenSymbol"/>
    </w:rPr>
  </w:style>
  <w:style w:type="character" w:styleId="ListLabel545">
    <w:name w:val="ListLabel 545"/>
    <w:qFormat/>
    <w:rPr>
      <w:rFonts w:cs="OpenSymbol"/>
    </w:rPr>
  </w:style>
  <w:style w:type="character" w:styleId="ListLabel546">
    <w:name w:val="ListLabel 546"/>
    <w:qFormat/>
    <w:rPr>
      <w:rFonts w:cs="OpenSymbol"/>
    </w:rPr>
  </w:style>
  <w:style w:type="character" w:styleId="ListLabel547">
    <w:name w:val="ListLabel 547"/>
    <w:qFormat/>
    <w:rPr>
      <w:rFonts w:cs="OpenSymbol"/>
    </w:rPr>
  </w:style>
  <w:style w:type="character" w:styleId="ListLabel548">
    <w:name w:val="ListLabel 548"/>
    <w:qFormat/>
    <w:rPr>
      <w:rFonts w:cs="OpenSymbol"/>
    </w:rPr>
  </w:style>
  <w:style w:type="character" w:styleId="ListLabel549">
    <w:name w:val="ListLabel 549"/>
    <w:qFormat/>
    <w:rPr>
      <w:rFonts w:cs="OpenSymbol"/>
    </w:rPr>
  </w:style>
  <w:style w:type="character" w:styleId="ListLabel550">
    <w:name w:val="ListLabel 550"/>
    <w:qFormat/>
    <w:rPr>
      <w:rFonts w:cs="OpenSymbol"/>
      <w:sz w:val="23"/>
    </w:rPr>
  </w:style>
  <w:style w:type="character" w:styleId="ListLabel551">
    <w:name w:val="ListLabel 551"/>
    <w:qFormat/>
    <w:rPr>
      <w:rFonts w:cs="OpenSymbol"/>
    </w:rPr>
  </w:style>
  <w:style w:type="character" w:styleId="ListLabel552">
    <w:name w:val="ListLabel 552"/>
    <w:qFormat/>
    <w:rPr>
      <w:rFonts w:cs="OpenSymbol"/>
    </w:rPr>
  </w:style>
  <w:style w:type="character" w:styleId="ListLabel553">
    <w:name w:val="ListLabel 553"/>
    <w:qFormat/>
    <w:rPr>
      <w:rFonts w:cs="OpenSymbol"/>
    </w:rPr>
  </w:style>
  <w:style w:type="character" w:styleId="ListLabel554">
    <w:name w:val="ListLabel 554"/>
    <w:qFormat/>
    <w:rPr>
      <w:rFonts w:cs="OpenSymbol"/>
    </w:rPr>
  </w:style>
  <w:style w:type="character" w:styleId="ListLabel555">
    <w:name w:val="ListLabel 555"/>
    <w:qFormat/>
    <w:rPr>
      <w:rFonts w:cs="OpenSymbol"/>
    </w:rPr>
  </w:style>
  <w:style w:type="character" w:styleId="ListLabel556">
    <w:name w:val="ListLabel 556"/>
    <w:qFormat/>
    <w:rPr>
      <w:rFonts w:cs="OpenSymbol"/>
    </w:rPr>
  </w:style>
  <w:style w:type="character" w:styleId="ListLabel557">
    <w:name w:val="ListLabel 557"/>
    <w:qFormat/>
    <w:rPr>
      <w:rFonts w:cs="OpenSymbol"/>
    </w:rPr>
  </w:style>
  <w:style w:type="character" w:styleId="ListLabel558">
    <w:name w:val="ListLabel 558"/>
    <w:qFormat/>
    <w:rPr>
      <w:rFonts w:cs="OpenSymbol"/>
    </w:rPr>
  </w:style>
  <w:style w:type="character" w:styleId="ListLabel559">
    <w:name w:val="ListLabel 559"/>
    <w:qFormat/>
    <w:rPr>
      <w:rFonts w:cs="OpenSymbol"/>
      <w:sz w:val="24"/>
    </w:rPr>
  </w:style>
  <w:style w:type="character" w:styleId="ListLabel560">
    <w:name w:val="ListLabel 560"/>
    <w:qFormat/>
    <w:rPr>
      <w:rFonts w:cs="OpenSymbol"/>
    </w:rPr>
  </w:style>
  <w:style w:type="character" w:styleId="ListLabel561">
    <w:name w:val="ListLabel 561"/>
    <w:qFormat/>
    <w:rPr>
      <w:rFonts w:cs="OpenSymbol"/>
    </w:rPr>
  </w:style>
  <w:style w:type="character" w:styleId="ListLabel562">
    <w:name w:val="ListLabel 562"/>
    <w:qFormat/>
    <w:rPr>
      <w:rFonts w:cs="OpenSymbol"/>
    </w:rPr>
  </w:style>
  <w:style w:type="character" w:styleId="ListLabel563">
    <w:name w:val="ListLabel 563"/>
    <w:qFormat/>
    <w:rPr>
      <w:rFonts w:cs="OpenSymbol"/>
    </w:rPr>
  </w:style>
  <w:style w:type="character" w:styleId="ListLabel564">
    <w:name w:val="ListLabel 564"/>
    <w:qFormat/>
    <w:rPr>
      <w:rFonts w:cs="OpenSymbol"/>
    </w:rPr>
  </w:style>
  <w:style w:type="character" w:styleId="ListLabel565">
    <w:name w:val="ListLabel 565"/>
    <w:qFormat/>
    <w:rPr>
      <w:rFonts w:cs="OpenSymbol"/>
    </w:rPr>
  </w:style>
  <w:style w:type="character" w:styleId="ListLabel566">
    <w:name w:val="ListLabel 566"/>
    <w:qFormat/>
    <w:rPr>
      <w:rFonts w:cs="OpenSymbol"/>
    </w:rPr>
  </w:style>
  <w:style w:type="character" w:styleId="ListLabel567">
    <w:name w:val="ListLabel 567"/>
    <w:qFormat/>
    <w:rPr>
      <w:rFonts w:cs="OpenSymbol"/>
    </w:rPr>
  </w:style>
  <w:style w:type="character" w:styleId="ListLabel568">
    <w:name w:val="ListLabel 568"/>
    <w:qFormat/>
    <w:rPr>
      <w:rFonts w:cs="OpenSymbol"/>
      <w:b w:val="false"/>
      <w:sz w:val="23"/>
    </w:rPr>
  </w:style>
  <w:style w:type="character" w:styleId="ListLabel569">
    <w:name w:val="ListLabel 569"/>
    <w:qFormat/>
    <w:rPr>
      <w:rFonts w:cs="OpenSymbol"/>
    </w:rPr>
  </w:style>
  <w:style w:type="character" w:styleId="ListLabel570">
    <w:name w:val="ListLabel 570"/>
    <w:qFormat/>
    <w:rPr>
      <w:rFonts w:cs="OpenSymbol"/>
    </w:rPr>
  </w:style>
  <w:style w:type="character" w:styleId="ListLabel571">
    <w:name w:val="ListLabel 571"/>
    <w:qFormat/>
    <w:rPr>
      <w:rFonts w:cs="OpenSymbol"/>
    </w:rPr>
  </w:style>
  <w:style w:type="character" w:styleId="ListLabel572">
    <w:name w:val="ListLabel 572"/>
    <w:qFormat/>
    <w:rPr>
      <w:rFonts w:cs="OpenSymbol"/>
    </w:rPr>
  </w:style>
  <w:style w:type="character" w:styleId="ListLabel573">
    <w:name w:val="ListLabel 573"/>
    <w:qFormat/>
    <w:rPr>
      <w:rFonts w:cs="OpenSymbol"/>
    </w:rPr>
  </w:style>
  <w:style w:type="character" w:styleId="ListLabel574">
    <w:name w:val="ListLabel 574"/>
    <w:qFormat/>
    <w:rPr>
      <w:rFonts w:cs="OpenSymbol"/>
    </w:rPr>
  </w:style>
  <w:style w:type="character" w:styleId="ListLabel575">
    <w:name w:val="ListLabel 575"/>
    <w:qFormat/>
    <w:rPr>
      <w:rFonts w:cs="OpenSymbol"/>
    </w:rPr>
  </w:style>
  <w:style w:type="character" w:styleId="ListLabel576">
    <w:name w:val="ListLabel 576"/>
    <w:qFormat/>
    <w:rPr>
      <w:rFonts w:cs="OpenSymbol"/>
    </w:rPr>
  </w:style>
  <w:style w:type="character" w:styleId="ListLabel577">
    <w:name w:val="ListLabel 577"/>
    <w:qFormat/>
    <w:rPr>
      <w:rFonts w:cs="OpenSymbol"/>
      <w:sz w:val="23"/>
    </w:rPr>
  </w:style>
  <w:style w:type="character" w:styleId="ListLabel578">
    <w:name w:val="ListLabel 578"/>
    <w:qFormat/>
    <w:rPr>
      <w:rFonts w:cs="OpenSymbol"/>
    </w:rPr>
  </w:style>
  <w:style w:type="character" w:styleId="ListLabel579">
    <w:name w:val="ListLabel 579"/>
    <w:qFormat/>
    <w:rPr>
      <w:rFonts w:cs="OpenSymbol"/>
    </w:rPr>
  </w:style>
  <w:style w:type="character" w:styleId="ListLabel580">
    <w:name w:val="ListLabel 580"/>
    <w:qFormat/>
    <w:rPr>
      <w:rFonts w:cs="OpenSymbol"/>
    </w:rPr>
  </w:style>
  <w:style w:type="character" w:styleId="ListLabel581">
    <w:name w:val="ListLabel 581"/>
    <w:qFormat/>
    <w:rPr>
      <w:rFonts w:cs="OpenSymbol"/>
    </w:rPr>
  </w:style>
  <w:style w:type="character" w:styleId="ListLabel582">
    <w:name w:val="ListLabel 582"/>
    <w:qFormat/>
    <w:rPr>
      <w:rFonts w:cs="OpenSymbol"/>
    </w:rPr>
  </w:style>
  <w:style w:type="character" w:styleId="ListLabel583">
    <w:name w:val="ListLabel 583"/>
    <w:qFormat/>
    <w:rPr>
      <w:rFonts w:cs="OpenSymbol"/>
    </w:rPr>
  </w:style>
  <w:style w:type="character" w:styleId="ListLabel584">
    <w:name w:val="ListLabel 584"/>
    <w:qFormat/>
    <w:rPr>
      <w:rFonts w:cs="OpenSymbol"/>
    </w:rPr>
  </w:style>
  <w:style w:type="character" w:styleId="ListLabel585">
    <w:name w:val="ListLabel 585"/>
    <w:qFormat/>
    <w:rPr>
      <w:rFonts w:cs="OpenSymbol"/>
    </w:rPr>
  </w:style>
  <w:style w:type="character" w:styleId="ListLabel586">
    <w:name w:val="ListLabel 586"/>
    <w:qFormat/>
    <w:rPr>
      <w:rFonts w:cs="OpenSymbol"/>
      <w:sz w:val="24"/>
    </w:rPr>
  </w:style>
  <w:style w:type="character" w:styleId="ListLabel587">
    <w:name w:val="ListLabel 587"/>
    <w:qFormat/>
    <w:rPr>
      <w:rFonts w:cs="OpenSymbol"/>
    </w:rPr>
  </w:style>
  <w:style w:type="character" w:styleId="ListLabel588">
    <w:name w:val="ListLabel 588"/>
    <w:qFormat/>
    <w:rPr>
      <w:rFonts w:cs="OpenSymbol"/>
    </w:rPr>
  </w:style>
  <w:style w:type="character" w:styleId="ListLabel589">
    <w:name w:val="ListLabel 589"/>
    <w:qFormat/>
    <w:rPr>
      <w:rFonts w:cs="OpenSymbol"/>
    </w:rPr>
  </w:style>
  <w:style w:type="character" w:styleId="ListLabel590">
    <w:name w:val="ListLabel 590"/>
    <w:qFormat/>
    <w:rPr>
      <w:rFonts w:cs="OpenSymbol"/>
    </w:rPr>
  </w:style>
  <w:style w:type="character" w:styleId="ListLabel591">
    <w:name w:val="ListLabel 591"/>
    <w:qFormat/>
    <w:rPr>
      <w:rFonts w:cs="OpenSymbol"/>
    </w:rPr>
  </w:style>
  <w:style w:type="character" w:styleId="ListLabel592">
    <w:name w:val="ListLabel 592"/>
    <w:qFormat/>
    <w:rPr>
      <w:rFonts w:cs="OpenSymbol"/>
    </w:rPr>
  </w:style>
  <w:style w:type="character" w:styleId="ListLabel593">
    <w:name w:val="ListLabel 593"/>
    <w:qFormat/>
    <w:rPr>
      <w:rFonts w:cs="OpenSymbol"/>
    </w:rPr>
  </w:style>
  <w:style w:type="character" w:styleId="ListLabel594">
    <w:name w:val="ListLabel 594"/>
    <w:qFormat/>
    <w:rPr>
      <w:rFonts w:cs="OpenSymbol"/>
    </w:rPr>
  </w:style>
  <w:style w:type="character" w:styleId="ListLabel595">
    <w:name w:val="ListLabel 595"/>
    <w:qFormat/>
    <w:rPr>
      <w:rFonts w:cs="OpenSymbol"/>
      <w:b w:val="false"/>
      <w:sz w:val="23"/>
    </w:rPr>
  </w:style>
  <w:style w:type="character" w:styleId="ListLabel596">
    <w:name w:val="ListLabel 596"/>
    <w:qFormat/>
    <w:rPr>
      <w:rFonts w:cs="OpenSymbol"/>
    </w:rPr>
  </w:style>
  <w:style w:type="character" w:styleId="ListLabel597">
    <w:name w:val="ListLabel 597"/>
    <w:qFormat/>
    <w:rPr>
      <w:rFonts w:cs="OpenSymbol"/>
    </w:rPr>
  </w:style>
  <w:style w:type="character" w:styleId="ListLabel598">
    <w:name w:val="ListLabel 598"/>
    <w:qFormat/>
    <w:rPr>
      <w:rFonts w:cs="OpenSymbol"/>
    </w:rPr>
  </w:style>
  <w:style w:type="character" w:styleId="ListLabel599">
    <w:name w:val="ListLabel 599"/>
    <w:qFormat/>
    <w:rPr>
      <w:rFonts w:cs="OpenSymbol"/>
    </w:rPr>
  </w:style>
  <w:style w:type="character" w:styleId="ListLabel600">
    <w:name w:val="ListLabel 600"/>
    <w:qFormat/>
    <w:rPr>
      <w:rFonts w:cs="OpenSymbol"/>
    </w:rPr>
  </w:style>
  <w:style w:type="character" w:styleId="ListLabel601">
    <w:name w:val="ListLabel 601"/>
    <w:qFormat/>
    <w:rPr>
      <w:rFonts w:cs="OpenSymbol"/>
    </w:rPr>
  </w:style>
  <w:style w:type="character" w:styleId="ListLabel602">
    <w:name w:val="ListLabel 602"/>
    <w:qFormat/>
    <w:rPr>
      <w:rFonts w:cs="OpenSymbol"/>
    </w:rPr>
  </w:style>
  <w:style w:type="character" w:styleId="ListLabel603">
    <w:name w:val="ListLabel 603"/>
    <w:qFormat/>
    <w:rPr>
      <w:rFonts w:cs="OpenSymbol"/>
    </w:rPr>
  </w:style>
  <w:style w:type="character" w:styleId="ListLabel604">
    <w:name w:val="ListLabel 604"/>
    <w:qFormat/>
    <w:rPr>
      <w:rFonts w:cs="OpenSymbol"/>
      <w:sz w:val="23"/>
    </w:rPr>
  </w:style>
  <w:style w:type="character" w:styleId="ListLabel605">
    <w:name w:val="ListLabel 605"/>
    <w:qFormat/>
    <w:rPr>
      <w:rFonts w:cs="OpenSymbol"/>
    </w:rPr>
  </w:style>
  <w:style w:type="character" w:styleId="ListLabel606">
    <w:name w:val="ListLabel 606"/>
    <w:qFormat/>
    <w:rPr>
      <w:rFonts w:cs="OpenSymbol"/>
    </w:rPr>
  </w:style>
  <w:style w:type="character" w:styleId="ListLabel607">
    <w:name w:val="ListLabel 607"/>
    <w:qFormat/>
    <w:rPr>
      <w:rFonts w:cs="OpenSymbol"/>
    </w:rPr>
  </w:style>
  <w:style w:type="character" w:styleId="ListLabel608">
    <w:name w:val="ListLabel 608"/>
    <w:qFormat/>
    <w:rPr>
      <w:rFonts w:cs="OpenSymbol"/>
    </w:rPr>
  </w:style>
  <w:style w:type="character" w:styleId="ListLabel609">
    <w:name w:val="ListLabel 609"/>
    <w:qFormat/>
    <w:rPr>
      <w:rFonts w:cs="OpenSymbol"/>
    </w:rPr>
  </w:style>
  <w:style w:type="character" w:styleId="ListLabel610">
    <w:name w:val="ListLabel 610"/>
    <w:qFormat/>
    <w:rPr>
      <w:rFonts w:cs="OpenSymbol"/>
    </w:rPr>
  </w:style>
  <w:style w:type="character" w:styleId="ListLabel611">
    <w:name w:val="ListLabel 611"/>
    <w:qFormat/>
    <w:rPr>
      <w:rFonts w:cs="OpenSymbol"/>
    </w:rPr>
  </w:style>
  <w:style w:type="character" w:styleId="ListLabel612">
    <w:name w:val="ListLabel 612"/>
    <w:qFormat/>
    <w:rPr>
      <w:rFonts w:cs="OpenSymbol"/>
    </w:rPr>
  </w:style>
  <w:style w:type="character" w:styleId="ListLabel613">
    <w:name w:val="ListLabel 613"/>
    <w:qFormat/>
    <w:rPr>
      <w:rFonts w:cs="OpenSymbol"/>
      <w:sz w:val="24"/>
    </w:rPr>
  </w:style>
  <w:style w:type="character" w:styleId="ListLabel614">
    <w:name w:val="ListLabel 614"/>
    <w:qFormat/>
    <w:rPr>
      <w:rFonts w:cs="OpenSymbol"/>
    </w:rPr>
  </w:style>
  <w:style w:type="character" w:styleId="ListLabel615">
    <w:name w:val="ListLabel 615"/>
    <w:qFormat/>
    <w:rPr>
      <w:rFonts w:cs="OpenSymbol"/>
    </w:rPr>
  </w:style>
  <w:style w:type="character" w:styleId="ListLabel616">
    <w:name w:val="ListLabel 616"/>
    <w:qFormat/>
    <w:rPr>
      <w:rFonts w:cs="OpenSymbol"/>
    </w:rPr>
  </w:style>
  <w:style w:type="character" w:styleId="ListLabel617">
    <w:name w:val="ListLabel 617"/>
    <w:qFormat/>
    <w:rPr>
      <w:rFonts w:cs="OpenSymbol"/>
    </w:rPr>
  </w:style>
  <w:style w:type="character" w:styleId="ListLabel618">
    <w:name w:val="ListLabel 618"/>
    <w:qFormat/>
    <w:rPr>
      <w:rFonts w:cs="OpenSymbol"/>
    </w:rPr>
  </w:style>
  <w:style w:type="character" w:styleId="ListLabel619">
    <w:name w:val="ListLabel 619"/>
    <w:qFormat/>
    <w:rPr>
      <w:rFonts w:cs="OpenSymbol"/>
    </w:rPr>
  </w:style>
  <w:style w:type="character" w:styleId="ListLabel620">
    <w:name w:val="ListLabel 620"/>
    <w:qFormat/>
    <w:rPr>
      <w:rFonts w:cs="OpenSymbol"/>
    </w:rPr>
  </w:style>
  <w:style w:type="character" w:styleId="ListLabel621">
    <w:name w:val="ListLabel 621"/>
    <w:qFormat/>
    <w:rPr>
      <w:rFonts w:cs="OpenSymbol"/>
    </w:rPr>
  </w:style>
  <w:style w:type="character" w:styleId="ListLabel622">
    <w:name w:val="ListLabel 622"/>
    <w:qFormat/>
    <w:rPr>
      <w:rFonts w:cs="OpenSymbol"/>
      <w:b w:val="false"/>
      <w:sz w:val="23"/>
    </w:rPr>
  </w:style>
  <w:style w:type="character" w:styleId="ListLabel623">
    <w:name w:val="ListLabel 623"/>
    <w:qFormat/>
    <w:rPr>
      <w:rFonts w:cs="OpenSymbol"/>
    </w:rPr>
  </w:style>
  <w:style w:type="character" w:styleId="ListLabel624">
    <w:name w:val="ListLabel 624"/>
    <w:qFormat/>
    <w:rPr>
      <w:rFonts w:cs="OpenSymbol"/>
    </w:rPr>
  </w:style>
  <w:style w:type="character" w:styleId="ListLabel625">
    <w:name w:val="ListLabel 625"/>
    <w:qFormat/>
    <w:rPr>
      <w:rFonts w:cs="OpenSymbol"/>
    </w:rPr>
  </w:style>
  <w:style w:type="character" w:styleId="ListLabel626">
    <w:name w:val="ListLabel 626"/>
    <w:qFormat/>
    <w:rPr>
      <w:rFonts w:cs="OpenSymbol"/>
    </w:rPr>
  </w:style>
  <w:style w:type="character" w:styleId="ListLabel627">
    <w:name w:val="ListLabel 627"/>
    <w:qFormat/>
    <w:rPr>
      <w:rFonts w:cs="OpenSymbol"/>
    </w:rPr>
  </w:style>
  <w:style w:type="character" w:styleId="ListLabel628">
    <w:name w:val="ListLabel 628"/>
    <w:qFormat/>
    <w:rPr>
      <w:rFonts w:cs="OpenSymbol"/>
    </w:rPr>
  </w:style>
  <w:style w:type="character" w:styleId="ListLabel629">
    <w:name w:val="ListLabel 629"/>
    <w:qFormat/>
    <w:rPr>
      <w:rFonts w:cs="OpenSymbol"/>
    </w:rPr>
  </w:style>
  <w:style w:type="character" w:styleId="ListLabel630">
    <w:name w:val="ListLabel 630"/>
    <w:qFormat/>
    <w:rPr>
      <w:rFonts w:cs="OpenSymbol"/>
    </w:rPr>
  </w:style>
  <w:style w:type="character" w:styleId="ListLabel631">
    <w:name w:val="ListLabel 631"/>
    <w:qFormat/>
    <w:rPr>
      <w:rFonts w:cs="OpenSymbol"/>
      <w:sz w:val="23"/>
    </w:rPr>
  </w:style>
  <w:style w:type="character" w:styleId="ListLabel632">
    <w:name w:val="ListLabel 632"/>
    <w:qFormat/>
    <w:rPr>
      <w:rFonts w:cs="OpenSymbol"/>
    </w:rPr>
  </w:style>
  <w:style w:type="character" w:styleId="ListLabel633">
    <w:name w:val="ListLabel 633"/>
    <w:qFormat/>
    <w:rPr>
      <w:rFonts w:cs="OpenSymbol"/>
    </w:rPr>
  </w:style>
  <w:style w:type="character" w:styleId="ListLabel634">
    <w:name w:val="ListLabel 634"/>
    <w:qFormat/>
    <w:rPr>
      <w:rFonts w:cs="OpenSymbol"/>
    </w:rPr>
  </w:style>
  <w:style w:type="character" w:styleId="ListLabel635">
    <w:name w:val="ListLabel 635"/>
    <w:qFormat/>
    <w:rPr>
      <w:rFonts w:cs="OpenSymbol"/>
    </w:rPr>
  </w:style>
  <w:style w:type="character" w:styleId="ListLabel636">
    <w:name w:val="ListLabel 636"/>
    <w:qFormat/>
    <w:rPr>
      <w:rFonts w:cs="OpenSymbol"/>
    </w:rPr>
  </w:style>
  <w:style w:type="character" w:styleId="ListLabel637">
    <w:name w:val="ListLabel 637"/>
    <w:qFormat/>
    <w:rPr>
      <w:rFonts w:cs="OpenSymbol"/>
    </w:rPr>
  </w:style>
  <w:style w:type="character" w:styleId="ListLabel638">
    <w:name w:val="ListLabel 638"/>
    <w:qFormat/>
    <w:rPr>
      <w:rFonts w:cs="OpenSymbol"/>
    </w:rPr>
  </w:style>
  <w:style w:type="character" w:styleId="ListLabel639">
    <w:name w:val="ListLabel 639"/>
    <w:qFormat/>
    <w:rPr>
      <w:rFonts w:cs="OpenSymbol"/>
    </w:rPr>
  </w:style>
  <w:style w:type="character" w:styleId="ListLabel640">
    <w:name w:val="ListLabel 640"/>
    <w:qFormat/>
    <w:rPr>
      <w:rFonts w:cs="OpenSymbol"/>
      <w:sz w:val="24"/>
    </w:rPr>
  </w:style>
  <w:style w:type="character" w:styleId="ListLabel641">
    <w:name w:val="ListLabel 641"/>
    <w:qFormat/>
    <w:rPr>
      <w:rFonts w:cs="OpenSymbol"/>
    </w:rPr>
  </w:style>
  <w:style w:type="character" w:styleId="ListLabel642">
    <w:name w:val="ListLabel 642"/>
    <w:qFormat/>
    <w:rPr>
      <w:rFonts w:cs="OpenSymbol"/>
    </w:rPr>
  </w:style>
  <w:style w:type="character" w:styleId="ListLabel643">
    <w:name w:val="ListLabel 643"/>
    <w:qFormat/>
    <w:rPr>
      <w:rFonts w:cs="OpenSymbol"/>
    </w:rPr>
  </w:style>
  <w:style w:type="character" w:styleId="ListLabel644">
    <w:name w:val="ListLabel 644"/>
    <w:qFormat/>
    <w:rPr>
      <w:rFonts w:cs="OpenSymbol"/>
    </w:rPr>
  </w:style>
  <w:style w:type="character" w:styleId="ListLabel645">
    <w:name w:val="ListLabel 645"/>
    <w:qFormat/>
    <w:rPr>
      <w:rFonts w:cs="OpenSymbol"/>
    </w:rPr>
  </w:style>
  <w:style w:type="character" w:styleId="ListLabel646">
    <w:name w:val="ListLabel 646"/>
    <w:qFormat/>
    <w:rPr>
      <w:rFonts w:cs="OpenSymbol"/>
    </w:rPr>
  </w:style>
  <w:style w:type="character" w:styleId="ListLabel647">
    <w:name w:val="ListLabel 647"/>
    <w:qFormat/>
    <w:rPr>
      <w:rFonts w:cs="OpenSymbol"/>
    </w:rPr>
  </w:style>
  <w:style w:type="character" w:styleId="ListLabel648">
    <w:name w:val="ListLabel 648"/>
    <w:qFormat/>
    <w:rPr>
      <w:rFonts w:cs="OpenSymbol"/>
    </w:rPr>
  </w:style>
  <w:style w:type="character" w:styleId="ListLabel649">
    <w:name w:val="ListLabel 649"/>
    <w:qFormat/>
    <w:rPr>
      <w:rFonts w:cs="OpenSymbol"/>
      <w:b w:val="false"/>
      <w:sz w:val="23"/>
    </w:rPr>
  </w:style>
  <w:style w:type="character" w:styleId="ListLabel650">
    <w:name w:val="ListLabel 650"/>
    <w:qFormat/>
    <w:rPr>
      <w:rFonts w:cs="OpenSymbol"/>
    </w:rPr>
  </w:style>
  <w:style w:type="character" w:styleId="ListLabel651">
    <w:name w:val="ListLabel 651"/>
    <w:qFormat/>
    <w:rPr>
      <w:rFonts w:cs="OpenSymbol"/>
    </w:rPr>
  </w:style>
  <w:style w:type="character" w:styleId="ListLabel652">
    <w:name w:val="ListLabel 652"/>
    <w:qFormat/>
    <w:rPr>
      <w:rFonts w:cs="OpenSymbol"/>
    </w:rPr>
  </w:style>
  <w:style w:type="character" w:styleId="ListLabel653">
    <w:name w:val="ListLabel 653"/>
    <w:qFormat/>
    <w:rPr>
      <w:rFonts w:cs="OpenSymbol"/>
    </w:rPr>
  </w:style>
  <w:style w:type="character" w:styleId="ListLabel654">
    <w:name w:val="ListLabel 654"/>
    <w:qFormat/>
    <w:rPr>
      <w:rFonts w:cs="OpenSymbol"/>
    </w:rPr>
  </w:style>
  <w:style w:type="character" w:styleId="ListLabel655">
    <w:name w:val="ListLabel 655"/>
    <w:qFormat/>
    <w:rPr>
      <w:rFonts w:cs="OpenSymbol"/>
    </w:rPr>
  </w:style>
  <w:style w:type="character" w:styleId="ListLabel656">
    <w:name w:val="ListLabel 656"/>
    <w:qFormat/>
    <w:rPr>
      <w:rFonts w:cs="OpenSymbol"/>
    </w:rPr>
  </w:style>
  <w:style w:type="character" w:styleId="ListLabel657">
    <w:name w:val="ListLabel 657"/>
    <w:qFormat/>
    <w:rPr>
      <w:rFonts w:cs="OpenSymbol"/>
    </w:rPr>
  </w:style>
  <w:style w:type="character" w:styleId="ListLabel658">
    <w:name w:val="ListLabel 658"/>
    <w:qFormat/>
    <w:rPr>
      <w:rFonts w:cs="OpenSymbol"/>
      <w:sz w:val="23"/>
    </w:rPr>
  </w:style>
  <w:style w:type="character" w:styleId="ListLabel659">
    <w:name w:val="ListLabel 659"/>
    <w:qFormat/>
    <w:rPr>
      <w:rFonts w:cs="OpenSymbol"/>
    </w:rPr>
  </w:style>
  <w:style w:type="character" w:styleId="ListLabel660">
    <w:name w:val="ListLabel 660"/>
    <w:qFormat/>
    <w:rPr>
      <w:rFonts w:cs="OpenSymbol"/>
    </w:rPr>
  </w:style>
  <w:style w:type="character" w:styleId="ListLabel661">
    <w:name w:val="ListLabel 661"/>
    <w:qFormat/>
    <w:rPr>
      <w:rFonts w:cs="OpenSymbol"/>
    </w:rPr>
  </w:style>
  <w:style w:type="character" w:styleId="ListLabel662">
    <w:name w:val="ListLabel 662"/>
    <w:qFormat/>
    <w:rPr>
      <w:rFonts w:cs="OpenSymbol"/>
    </w:rPr>
  </w:style>
  <w:style w:type="character" w:styleId="ListLabel663">
    <w:name w:val="ListLabel 663"/>
    <w:qFormat/>
    <w:rPr>
      <w:rFonts w:cs="OpenSymbol"/>
    </w:rPr>
  </w:style>
  <w:style w:type="character" w:styleId="ListLabel664">
    <w:name w:val="ListLabel 664"/>
    <w:qFormat/>
    <w:rPr>
      <w:rFonts w:cs="OpenSymbol"/>
    </w:rPr>
  </w:style>
  <w:style w:type="character" w:styleId="ListLabel665">
    <w:name w:val="ListLabel 665"/>
    <w:qFormat/>
    <w:rPr>
      <w:rFonts w:cs="OpenSymbol"/>
    </w:rPr>
  </w:style>
  <w:style w:type="character" w:styleId="ListLabel666">
    <w:name w:val="ListLabel 666"/>
    <w:qFormat/>
    <w:rPr>
      <w:rFonts w:cs="OpenSymbol"/>
    </w:rPr>
  </w:style>
  <w:style w:type="character" w:styleId="ListLabel667">
    <w:name w:val="ListLabel 667"/>
    <w:qFormat/>
    <w:rPr>
      <w:rFonts w:cs="OpenSymbol"/>
      <w:sz w:val="24"/>
    </w:rPr>
  </w:style>
  <w:style w:type="character" w:styleId="ListLabel668">
    <w:name w:val="ListLabel 668"/>
    <w:qFormat/>
    <w:rPr>
      <w:rFonts w:cs="OpenSymbol"/>
    </w:rPr>
  </w:style>
  <w:style w:type="character" w:styleId="ListLabel669">
    <w:name w:val="ListLabel 669"/>
    <w:qFormat/>
    <w:rPr>
      <w:rFonts w:cs="OpenSymbol"/>
    </w:rPr>
  </w:style>
  <w:style w:type="character" w:styleId="ListLabel670">
    <w:name w:val="ListLabel 670"/>
    <w:qFormat/>
    <w:rPr>
      <w:rFonts w:cs="OpenSymbol"/>
    </w:rPr>
  </w:style>
  <w:style w:type="character" w:styleId="ListLabel671">
    <w:name w:val="ListLabel 671"/>
    <w:qFormat/>
    <w:rPr>
      <w:rFonts w:cs="OpenSymbol"/>
    </w:rPr>
  </w:style>
  <w:style w:type="character" w:styleId="ListLabel672">
    <w:name w:val="ListLabel 672"/>
    <w:qFormat/>
    <w:rPr>
      <w:rFonts w:cs="OpenSymbol"/>
    </w:rPr>
  </w:style>
  <w:style w:type="character" w:styleId="ListLabel673">
    <w:name w:val="ListLabel 673"/>
    <w:qFormat/>
    <w:rPr>
      <w:rFonts w:cs="OpenSymbol"/>
    </w:rPr>
  </w:style>
  <w:style w:type="character" w:styleId="ListLabel674">
    <w:name w:val="ListLabel 674"/>
    <w:qFormat/>
    <w:rPr>
      <w:rFonts w:cs="OpenSymbol"/>
    </w:rPr>
  </w:style>
  <w:style w:type="character" w:styleId="ListLabel675">
    <w:name w:val="ListLabel 675"/>
    <w:qFormat/>
    <w:rPr>
      <w:rFonts w:cs="OpenSymbol"/>
    </w:rPr>
  </w:style>
  <w:style w:type="character" w:styleId="ListLabel676">
    <w:name w:val="ListLabel 676"/>
    <w:qFormat/>
    <w:rPr>
      <w:rFonts w:cs="OpenSymbol"/>
      <w:b w:val="false"/>
      <w:sz w:val="24"/>
    </w:rPr>
  </w:style>
  <w:style w:type="character" w:styleId="ListLabel677">
    <w:name w:val="ListLabel 677"/>
    <w:qFormat/>
    <w:rPr>
      <w:rFonts w:cs="OpenSymbol"/>
    </w:rPr>
  </w:style>
  <w:style w:type="character" w:styleId="ListLabel678">
    <w:name w:val="ListLabel 678"/>
    <w:qFormat/>
    <w:rPr>
      <w:rFonts w:cs="OpenSymbol"/>
    </w:rPr>
  </w:style>
  <w:style w:type="character" w:styleId="ListLabel679">
    <w:name w:val="ListLabel 679"/>
    <w:qFormat/>
    <w:rPr>
      <w:rFonts w:cs="OpenSymbol"/>
    </w:rPr>
  </w:style>
  <w:style w:type="character" w:styleId="ListLabel680">
    <w:name w:val="ListLabel 680"/>
    <w:qFormat/>
    <w:rPr>
      <w:rFonts w:cs="OpenSymbol"/>
    </w:rPr>
  </w:style>
  <w:style w:type="character" w:styleId="ListLabel681">
    <w:name w:val="ListLabel 681"/>
    <w:qFormat/>
    <w:rPr>
      <w:rFonts w:cs="OpenSymbol"/>
    </w:rPr>
  </w:style>
  <w:style w:type="character" w:styleId="ListLabel682">
    <w:name w:val="ListLabel 682"/>
    <w:qFormat/>
    <w:rPr>
      <w:rFonts w:cs="OpenSymbol"/>
    </w:rPr>
  </w:style>
  <w:style w:type="character" w:styleId="ListLabel683">
    <w:name w:val="ListLabel 683"/>
    <w:qFormat/>
    <w:rPr>
      <w:rFonts w:cs="OpenSymbol"/>
    </w:rPr>
  </w:style>
  <w:style w:type="character" w:styleId="ListLabel684">
    <w:name w:val="ListLabel 684"/>
    <w:qFormat/>
    <w:rPr>
      <w:rFonts w:cs="OpenSymbol"/>
    </w:rPr>
  </w:style>
  <w:style w:type="character" w:styleId="ListLabel685">
    <w:name w:val="ListLabel 685"/>
    <w:qFormat/>
    <w:rPr>
      <w:rFonts w:cs="OpenSymbol"/>
      <w:sz w:val="24"/>
    </w:rPr>
  </w:style>
  <w:style w:type="character" w:styleId="ListLabel686">
    <w:name w:val="ListLabel 686"/>
    <w:qFormat/>
    <w:rPr>
      <w:rFonts w:cs="OpenSymbol"/>
    </w:rPr>
  </w:style>
  <w:style w:type="character" w:styleId="ListLabel687">
    <w:name w:val="ListLabel 687"/>
    <w:qFormat/>
    <w:rPr>
      <w:rFonts w:cs="OpenSymbol"/>
    </w:rPr>
  </w:style>
  <w:style w:type="character" w:styleId="ListLabel688">
    <w:name w:val="ListLabel 688"/>
    <w:qFormat/>
    <w:rPr>
      <w:rFonts w:cs="OpenSymbol"/>
    </w:rPr>
  </w:style>
  <w:style w:type="character" w:styleId="ListLabel689">
    <w:name w:val="ListLabel 689"/>
    <w:qFormat/>
    <w:rPr>
      <w:rFonts w:cs="OpenSymbol"/>
    </w:rPr>
  </w:style>
  <w:style w:type="character" w:styleId="ListLabel690">
    <w:name w:val="ListLabel 690"/>
    <w:qFormat/>
    <w:rPr>
      <w:rFonts w:cs="OpenSymbol"/>
    </w:rPr>
  </w:style>
  <w:style w:type="character" w:styleId="ListLabel691">
    <w:name w:val="ListLabel 691"/>
    <w:qFormat/>
    <w:rPr>
      <w:rFonts w:cs="OpenSymbol"/>
    </w:rPr>
  </w:style>
  <w:style w:type="character" w:styleId="ListLabel692">
    <w:name w:val="ListLabel 692"/>
    <w:qFormat/>
    <w:rPr>
      <w:rFonts w:cs="OpenSymbol"/>
    </w:rPr>
  </w:style>
  <w:style w:type="character" w:styleId="ListLabel693">
    <w:name w:val="ListLabel 693"/>
    <w:qFormat/>
    <w:rPr>
      <w:rFonts w:cs="OpenSymbol"/>
    </w:rPr>
  </w:style>
  <w:style w:type="character" w:styleId="ListLabel694">
    <w:name w:val="ListLabel 694"/>
    <w:qFormat/>
    <w:rPr>
      <w:rFonts w:cs="OpenSymbol"/>
      <w:sz w:val="24"/>
    </w:rPr>
  </w:style>
  <w:style w:type="character" w:styleId="ListLabel695">
    <w:name w:val="ListLabel 695"/>
    <w:qFormat/>
    <w:rPr>
      <w:rFonts w:cs="OpenSymbol"/>
    </w:rPr>
  </w:style>
  <w:style w:type="character" w:styleId="ListLabel696">
    <w:name w:val="ListLabel 696"/>
    <w:qFormat/>
    <w:rPr>
      <w:rFonts w:cs="OpenSymbol"/>
    </w:rPr>
  </w:style>
  <w:style w:type="character" w:styleId="ListLabel697">
    <w:name w:val="ListLabel 697"/>
    <w:qFormat/>
    <w:rPr>
      <w:rFonts w:cs="OpenSymbol"/>
    </w:rPr>
  </w:style>
  <w:style w:type="character" w:styleId="ListLabel698">
    <w:name w:val="ListLabel 698"/>
    <w:qFormat/>
    <w:rPr>
      <w:rFonts w:cs="OpenSymbol"/>
    </w:rPr>
  </w:style>
  <w:style w:type="character" w:styleId="ListLabel699">
    <w:name w:val="ListLabel 699"/>
    <w:qFormat/>
    <w:rPr>
      <w:rFonts w:cs="OpenSymbol"/>
    </w:rPr>
  </w:style>
  <w:style w:type="character" w:styleId="ListLabel700">
    <w:name w:val="ListLabel 700"/>
    <w:qFormat/>
    <w:rPr>
      <w:rFonts w:cs="OpenSymbol"/>
    </w:rPr>
  </w:style>
  <w:style w:type="character" w:styleId="ListLabel701">
    <w:name w:val="ListLabel 701"/>
    <w:qFormat/>
    <w:rPr>
      <w:rFonts w:cs="OpenSymbol"/>
    </w:rPr>
  </w:style>
  <w:style w:type="character" w:styleId="ListLabel702">
    <w:name w:val="ListLabel 702"/>
    <w:qFormat/>
    <w:rPr>
      <w:rFonts w:cs="OpenSymbol"/>
    </w:rPr>
  </w:style>
  <w:style w:type="paragraph" w:styleId="Heading">
    <w:name w:val="Heading"/>
    <w:basedOn w:val="Normal"/>
    <w:next w:val="TextBody"/>
    <w:qFormat/>
    <w:pPr>
      <w:keepNext/>
      <w:spacing w:before="240" w:after="120"/>
    </w:pPr>
    <w:rPr>
      <w:rFonts w:ascii="Liberation Sans" w:hAnsi="Liberation Sans" w:eastAsia="Noto Sans CJK SC Regular" w:cs="Noto Sans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Footnote">
    <w:name w:val="Footnote Text"/>
    <w:basedOn w:val="Normal"/>
    <w:pPr>
      <w:suppressLineNumbers/>
      <w:ind w:left="339" w:hanging="339"/>
    </w:pPr>
    <w:rPr>
      <w:sz w:val="20"/>
      <w:szCs w:val="20"/>
    </w:rPr>
  </w:style>
  <w:style w:type="paragraph" w:styleId="Footer">
    <w:name w:val="Footer"/>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image" Target="media/image2.png"/><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32</TotalTime>
  <Application>LibreOffice/5.2.7.2$Linux_X86_64 LibreOffice_project/20m0$Build-2</Application>
  <Pages>3</Pages>
  <Words>617</Words>
  <Characters>3382</Characters>
  <CharactersWithSpaces>3977</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2019-12-01T20:00:30Z</dcterms:created>
  <dc:creator/>
  <dc:description/>
  <dc:language>en-US</dc:language>
  <cp:lastModifiedBy/>
  <dcterms:modified xsi:type="dcterms:W3CDTF">2020-01-26T23:57:08Z</dcterms:modified>
  <cp:revision>22</cp:revision>
  <dc:subject/>
  <dc:title/>
</cp:coreProperties>
</file>