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rFonts w:ascii="Calibri" w:hAnsi="Calibri"/>
        </w:rPr>
      </w:pPr>
      <w:r>
        <w:rPr>
          <w:rFonts w:ascii="Calibri" w:hAnsi="Calibri"/>
          <w:b/>
          <w:bCs/>
          <w:sz w:val="24"/>
          <w:szCs w:val="24"/>
        </w:rPr>
        <w:t>Resolution 2020-02 [05]</w:t>
      </w:r>
    </w:p>
    <w:p>
      <w:pPr>
        <w:pStyle w:val="Normal"/>
        <w:jc w:val="center"/>
        <w:rPr>
          <w:rFonts w:ascii="Calibri" w:hAnsi="Calibri"/>
          <w:b/>
          <w:b/>
          <w:bCs/>
          <w:sz w:val="24"/>
          <w:szCs w:val="24"/>
        </w:rPr>
      </w:pPr>
      <w:r>
        <w:rPr>
          <w:rFonts w:ascii="Calibri" w:hAnsi="Calibri"/>
          <w:b/>
          <w:bCs/>
          <w:sz w:val="24"/>
          <w:szCs w:val="24"/>
        </w:rPr>
      </w:r>
    </w:p>
    <w:p>
      <w:pPr>
        <w:pStyle w:val="Normal"/>
        <w:jc w:val="center"/>
        <w:rPr>
          <w:rFonts w:ascii="Calibri" w:hAnsi="Calibri"/>
        </w:rPr>
      </w:pPr>
      <w:r>
        <w:rPr>
          <w:rFonts w:ascii="Calibri" w:hAnsi="Calibri"/>
          <w:b/>
          <w:bCs/>
          <w:i w:val="false"/>
          <w:iCs w:val="false"/>
          <w:sz w:val="32"/>
          <w:szCs w:val="32"/>
        </w:rPr>
        <w:t xml:space="preserve">Calling for </w:t>
      </w:r>
      <w:r>
        <w:rPr>
          <w:rFonts w:ascii="Calibri" w:hAnsi="Calibri"/>
          <w:b/>
          <w:bCs/>
          <w:sz w:val="32"/>
          <w:szCs w:val="32"/>
        </w:rPr>
        <w:t>Ethical Criteria</w:t>
      </w:r>
    </w:p>
    <w:p>
      <w:pPr>
        <w:pStyle w:val="Normal"/>
        <w:jc w:val="center"/>
        <w:rPr>
          <w:rFonts w:ascii="Calibri" w:hAnsi="Calibri"/>
        </w:rPr>
      </w:pPr>
      <w:r>
        <w:rPr>
          <w:rFonts w:ascii="Calibri" w:hAnsi="Calibri"/>
          <w:b/>
          <w:bCs/>
          <w:sz w:val="32"/>
          <w:szCs w:val="32"/>
        </w:rPr>
        <w:t>for the Selection of a New College President</w:t>
      </w:r>
    </w:p>
    <w:p>
      <w:pPr>
        <w:pStyle w:val="Normal"/>
        <w:jc w:val="center"/>
        <w:rPr>
          <w:b/>
          <w:b/>
          <w:bCs/>
        </w:rPr>
      </w:pPr>
      <w:r>
        <w:rPr>
          <w:b/>
          <w:bCs/>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Whereas</w:t>
      </w:r>
      <w:r>
        <w:rPr>
          <w:rFonts w:ascii="Calibri" w:hAnsi="Calibri"/>
          <w:sz w:val="24"/>
          <w:szCs w:val="24"/>
        </w:rPr>
        <w:t xml:space="preserve"> the Mission Statement of Suffolk County Community College commits the institution to promoting “ethical awareness”</w:t>
      </w:r>
      <w:r>
        <w:rPr>
          <w:rStyle w:val="FootnoteAnchor"/>
          <w:rFonts w:ascii="Calibri" w:hAnsi="Calibri"/>
          <w:sz w:val="24"/>
          <w:szCs w:val="24"/>
        </w:rPr>
        <w:footnoteReference w:id="2"/>
      </w:r>
      <w:r>
        <w:rPr>
          <w:rFonts w:ascii="Calibri" w:hAnsi="Calibri"/>
          <w:sz w:val="24"/>
          <w:szCs w:val="24"/>
        </w:rPr>
        <w:t>; and</w:t>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Whereas</w:t>
      </w:r>
      <w:r>
        <w:rPr>
          <w:rFonts w:ascii="Calibri" w:hAnsi="Calibri"/>
          <w:sz w:val="24"/>
          <w:szCs w:val="24"/>
        </w:rPr>
        <w:t xml:space="preserve"> The Middle States Commission on Higher Education’s </w:t>
      </w:r>
      <w:r>
        <w:rPr>
          <w:rFonts w:ascii="Calibri" w:hAnsi="Calibri"/>
          <w:i/>
          <w:iCs/>
          <w:sz w:val="24"/>
          <w:szCs w:val="24"/>
        </w:rPr>
        <w:t>Standards for Accreditation</w:t>
      </w:r>
      <w:r>
        <w:rPr>
          <w:rFonts w:ascii="Calibri" w:hAnsi="Calibri"/>
          <w:sz w:val="24"/>
          <w:szCs w:val="24"/>
        </w:rPr>
        <w:t>, Standard II: Ethics and Integrity, asserts:</w:t>
      </w:r>
    </w:p>
    <w:p>
      <w:pPr>
        <w:pStyle w:val="Normal"/>
        <w:widowControl/>
        <w:tabs>
          <w:tab w:val="left" w:pos="821" w:leader="none"/>
        </w:tabs>
        <w:bidi w:val="0"/>
        <w:spacing w:before="0" w:after="120"/>
        <w:ind w:left="449" w:right="0" w:hanging="0"/>
        <w:jc w:val="left"/>
        <w:rPr>
          <w:rFonts w:ascii="Calibri" w:hAnsi="Calibri"/>
          <w:sz w:val="24"/>
          <w:szCs w:val="24"/>
        </w:rPr>
      </w:pPr>
      <w:r>
        <w:rPr>
          <w:rFonts w:ascii="Calibri" w:hAnsi="Calibri"/>
          <w:i/>
          <w:iCs/>
          <w:sz w:val="24"/>
          <w:szCs w:val="24"/>
        </w:rPr>
        <w:t xml:space="preserve">Ethics and integrity are central, indispensable, and defining hallmarks of effective higher education institutions. In all activities, whether internal or external, an institution must be faithful to its mission, honor its contracts and commitments, adhere to its policies, and </w:t>
      </w:r>
      <w:bookmarkStart w:id="0" w:name="_GoBack"/>
      <w:bookmarkEnd w:id="0"/>
      <w:r>
        <w:rPr>
          <w:rFonts w:ascii="Calibri" w:hAnsi="Calibri"/>
          <w:i/>
          <w:iCs/>
          <w:sz w:val="24"/>
          <w:szCs w:val="24"/>
        </w:rPr>
        <w:t>represent itself truthfully</w:t>
      </w:r>
      <w:r>
        <w:rPr>
          <w:rStyle w:val="FootnoteAnchor"/>
          <w:rFonts w:ascii="Calibri" w:hAnsi="Calibri"/>
          <w:i/>
          <w:iCs/>
          <w:sz w:val="24"/>
          <w:szCs w:val="24"/>
        </w:rPr>
        <w:footnoteReference w:id="3"/>
      </w:r>
      <w:r>
        <w:rPr>
          <w:rFonts w:ascii="Calibri" w:hAnsi="Calibri"/>
          <w:sz w:val="24"/>
          <w:szCs w:val="24"/>
        </w:rPr>
        <w:t>;</w:t>
        <w:br/>
        <w:t>and</w:t>
      </w:r>
    </w:p>
    <w:p>
      <w:pPr>
        <w:pStyle w:val="Normal"/>
        <w:spacing w:before="0" w:after="120"/>
        <w:ind w:left="720" w:hanging="720"/>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College is currently conducting a search for a new College President; and</w:t>
      </w:r>
    </w:p>
    <w:p>
      <w:pPr>
        <w:pStyle w:val="Normal"/>
        <w:widowControl/>
        <w:bidi w:val="0"/>
        <w:spacing w:before="0" w:after="120"/>
        <w:ind w:right="0" w:hanging="0"/>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Presidential Search Prospectus being used by the Presidential Search Committee makes no reference to the ethical qualifications the College will seek in its new President</w:t>
      </w:r>
      <w:r>
        <w:rPr>
          <w:rStyle w:val="FootnoteAnchor"/>
          <w:rFonts w:ascii="Calibri" w:hAnsi="Calibri"/>
          <w:sz w:val="24"/>
          <w:szCs w:val="24"/>
        </w:rPr>
        <w:footnoteReference w:id="4"/>
      </w:r>
      <w:r>
        <w:rPr>
          <w:rFonts w:ascii="Calibri" w:hAnsi="Calibri"/>
          <w:sz w:val="24"/>
          <w:szCs w:val="24"/>
        </w:rPr>
        <w:t>; and</w:t>
      </w:r>
    </w:p>
    <w:p>
      <w:pPr>
        <w:pStyle w:val="Normal"/>
        <w:widowControl/>
        <w:bidi w:val="0"/>
        <w:spacing w:before="0" w:after="120"/>
        <w:ind w:right="0" w:hanging="0"/>
        <w:jc w:val="both"/>
        <w:rPr>
          <w:rFonts w:ascii="Calibri" w:hAnsi="Calibri"/>
          <w:sz w:val="24"/>
          <w:szCs w:val="24"/>
        </w:rPr>
      </w:pPr>
      <w:r>
        <w:rPr>
          <w:rFonts w:ascii="Calibri" w:hAnsi="Calibri"/>
          <w:b/>
          <w:bCs/>
          <w:sz w:val="24"/>
          <w:szCs w:val="24"/>
        </w:rPr>
        <w:t>Whereas</w:t>
      </w:r>
      <w:r>
        <w:rPr>
          <w:rFonts w:ascii="Calibri" w:hAnsi="Calibri"/>
          <w:sz w:val="24"/>
          <w:szCs w:val="24"/>
        </w:rPr>
        <w:t xml:space="preserve"> on December 10, 2019, the Grant Campus Academic Assembly resolved to censure the Interim College President Louis Petrizzo for “violating the principles of shared governance” and “breach of ethical standards of honesty and transparency”</w:t>
      </w:r>
      <w:r>
        <w:rPr>
          <w:rStyle w:val="FootnoteAnchor"/>
          <w:rFonts w:ascii="Calibri" w:hAnsi="Calibri"/>
          <w:sz w:val="24"/>
          <w:szCs w:val="24"/>
        </w:rPr>
        <w:footnoteReference w:id="5"/>
      </w:r>
      <w:r>
        <w:rPr>
          <w:rFonts w:ascii="Calibri" w:hAnsi="Calibri"/>
          <w:sz w:val="24"/>
          <w:szCs w:val="24"/>
        </w:rPr>
        <w:t>; and</w:t>
      </w:r>
    </w:p>
    <w:p>
      <w:pPr>
        <w:pStyle w:val="Normal"/>
        <w:widowControl/>
        <w:bidi w:val="0"/>
        <w:spacing w:before="0" w:after="120"/>
        <w:ind w:right="0" w:hanging="0"/>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College community should insist on the highest ethical standards for all constituencies, including the leadership of the College; therefore be it</w:t>
      </w:r>
    </w:p>
    <w:p>
      <w:pPr>
        <w:pStyle w:val="Normal"/>
        <w:widowControl/>
        <w:bidi w:val="0"/>
        <w:spacing w:before="0" w:after="120"/>
        <w:ind w:right="0" w:hanging="0"/>
        <w:jc w:val="both"/>
        <w:rPr>
          <w:b/>
          <w:b/>
          <w:bCs/>
        </w:rPr>
      </w:pPr>
      <w:r>
        <w:rPr>
          <w:b/>
          <w:bCs/>
        </w:rPr>
      </w:r>
    </w:p>
    <w:p>
      <w:pPr>
        <w:pStyle w:val="Normal"/>
        <w:widowControl/>
        <w:bidi w:val="0"/>
        <w:spacing w:before="0" w:after="120"/>
        <w:ind w:right="0" w:hanging="0"/>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Grant Campus Academic Assembly calls on the Presidential Search Committee to articulate explicit criteria of ethical leadership to be used in the selection of a new College President; and be it further</w:t>
      </w:r>
    </w:p>
    <w:p>
      <w:pPr>
        <w:pStyle w:val="Normal"/>
        <w:widowControl/>
        <w:bidi w:val="0"/>
        <w:spacing w:before="0" w:after="120"/>
        <w:ind w:right="0" w:hanging="0"/>
        <w:jc w:val="both"/>
        <w:rPr>
          <w:rFonts w:ascii="Calibri" w:hAnsi="Calibri"/>
          <w:sz w:val="24"/>
          <w:szCs w:val="24"/>
        </w:rPr>
      </w:pPr>
      <w:r>
        <w:rPr>
          <w:rFonts w:ascii="Calibri" w:hAnsi="Calibri"/>
          <w:sz w:val="24"/>
          <w:szCs w:val="24"/>
        </w:rPr>
      </w:r>
    </w:p>
    <w:p>
      <w:pPr>
        <w:pStyle w:val="Normal"/>
        <w:widowControl/>
        <w:bidi w:val="0"/>
        <w:spacing w:before="0" w:after="120"/>
        <w:ind w:right="0" w:hanging="0"/>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Grant Campus Academic Assembly directs the Chairperson of the Assembly to communicate this resolution to Trustee Theresa Sanders, Chairperson of the Presidential Search Committee, and to share it with all members of the Committee.</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r>
      <w:bookmarkStart w:id="1" w:name="__DdeLink__3281_216306462"/>
      <w:r>
        <w:rPr>
          <w:rFonts w:ascii="Calibri" w:hAnsi="Calibri"/>
          <w:sz w:val="24"/>
          <w:szCs w:val="24"/>
        </w:rPr>
        <w:t>P</w:t>
      </w:r>
      <w:r>
        <w:rPr>
          <w:rFonts w:ascii="Calibri" w:hAnsi="Calibri"/>
          <w:sz w:val="24"/>
          <w:szCs w:val="24"/>
        </w:rPr>
        <w:t>assed [32-7-2]</w:t>
      </w:r>
      <w:r>
        <w:rPr>
          <w:rFonts w:ascii="Calibri" w:hAnsi="Calibri"/>
          <w:sz w:val="24"/>
          <w:szCs w:val="24"/>
        </w:rPr>
        <w:t xml:space="preserve"> on</w:t>
      </w:r>
      <w:bookmarkEnd w:id="1"/>
      <w:r>
        <w:rPr>
          <w:rFonts w:ascii="Calibri" w:hAnsi="Calibri"/>
          <w:sz w:val="24"/>
          <w:szCs w:val="24"/>
        </w:rPr>
        <w:t xml:space="preserve"> February 25, 2020</w:t>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spacing w:before="0" w:after="120"/>
        <w:rPr/>
      </w:pPr>
      <w:r>
        <w:rPr>
          <w:rStyle w:val="Footnotereference"/>
        </w:rPr>
        <w:footnoteRef/>
        <w:tab/>
      </w:r>
      <w:r>
        <w:rPr/>
        <w:t xml:space="preserve"> </w:t>
      </w:r>
      <w:hyperlink r:id="rId1">
        <w:r>
          <w:rPr>
            <w:rStyle w:val="InternetLink"/>
          </w:rPr>
          <w:t>https://www.sunysuffolk.edu/about-suffolk/strategic-planning/mission-and-vision.jsp</w:t>
        </w:r>
      </w:hyperlink>
      <w:r>
        <w:rPr/>
        <w:t xml:space="preserve"> </w:t>
      </w:r>
    </w:p>
  </w:footnote>
  <w:footnote w:id="3">
    <w:p>
      <w:pPr>
        <w:pStyle w:val="Footnotetext"/>
        <w:spacing w:before="0" w:after="120"/>
        <w:rPr/>
      </w:pPr>
      <w:r>
        <w:rPr>
          <w:rStyle w:val="Footnotereference"/>
        </w:rPr>
        <w:footnoteRef/>
        <w:tab/>
      </w:r>
      <w:r>
        <w:rPr/>
        <w:t xml:space="preserve"> </w:t>
      </w:r>
      <w:hyperlink r:id="rId2">
        <w:r>
          <w:rPr>
            <w:rStyle w:val="InternetLink"/>
          </w:rPr>
          <w:t>https://www.msche.org/standards/</w:t>
        </w:r>
      </w:hyperlink>
      <w:r>
        <w:rPr/>
        <w:t xml:space="preserve"> </w:t>
      </w:r>
    </w:p>
  </w:footnote>
  <w:footnote w:id="4">
    <w:p>
      <w:pPr>
        <w:pStyle w:val="Footnotetext"/>
        <w:spacing w:before="0" w:after="120"/>
        <w:rPr/>
      </w:pPr>
      <w:r>
        <w:rPr>
          <w:rStyle w:val="Footnotereference"/>
        </w:rPr>
        <w:footnoteRef/>
        <w:tab/>
      </w:r>
      <w:r>
        <w:rPr/>
        <w:t xml:space="preserve"> </w:t>
      </w:r>
      <w:hyperlink r:id="rId3">
        <w:r>
          <w:rPr>
            <w:rStyle w:val="InternetLink"/>
          </w:rPr>
          <w:t>https://www.sunysuffolk.edu/about-suffolk/office-of-the-president/2019-2020-presidential-search/documents/suffolk-county-community-college-presidential-position-profile.pdf</w:t>
        </w:r>
      </w:hyperlink>
      <w:r>
        <w:rPr/>
        <w:t xml:space="preserve"> </w:t>
      </w:r>
    </w:p>
  </w:footnote>
  <w:footnote w:id="5">
    <w:p>
      <w:pPr>
        <w:pStyle w:val="Footnotetext"/>
        <w:spacing w:before="0" w:after="120"/>
        <w:rPr/>
      </w:pPr>
      <w:r>
        <w:rPr>
          <w:rStyle w:val="Footnotereference"/>
        </w:rPr>
        <w:footnoteRef/>
        <w:tab/>
      </w:r>
      <w:r>
        <w:rPr/>
        <w:t xml:space="preserve"> </w:t>
      </w:r>
      <w:hyperlink r:id="rId4">
        <w:r>
          <w:rPr>
            <w:rStyle w:val="InternetLink"/>
          </w:rPr>
          <w:t>https://www.sunysuffolk.edu/governance/grant-assembly/documents/2019-2020/assembly-resolution-2019-09-N_18-censuring-the-interim-college-president.docx</w:t>
        </w:r>
      </w:hyperlink>
      <w:r>
        <w:rPr/>
        <w:t xml:space="preserve"> </w:t>
      </w:r>
    </w:p>
  </w:footnote>
</w:footnotes>
</file>

<file path=word/settings.xml><?xml version="1.0" encoding="utf-8"?>
<w:settings xmlns:w="http://schemas.openxmlformats.org/wordprocessingml/2006/main">
  <w:zoom w:percent="9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sunysuffolk.edu/about-suffolk/strategic-planning/mission-and-vision.jsp" TargetMode="External"/><Relationship Id="rId2" Type="http://schemas.openxmlformats.org/officeDocument/2006/relationships/hyperlink" Target="https://www.msche.org/standards/" TargetMode="External"/><Relationship Id="rId3" Type="http://schemas.openxmlformats.org/officeDocument/2006/relationships/hyperlink" Target="https://www.sunysuffolk.edu/about-suffolk/office-of-the-president/2019-2020-presidential-search/documents/suffolk-county-community-college-presidential-position-profile.pdf" TargetMode="External"/><Relationship Id="rId4" Type="http://schemas.openxmlformats.org/officeDocument/2006/relationships/hyperlink" Target="https://www.sunysuffolk.edu/governance/grant-assembly/documents/2019-2020/assembly-resolution-2019-09-N_18-censuring-the-interim-college-president.docx" TargetMode="External"/>
</Relationships>
</file>

<file path=docProps/app.xml><?xml version="1.0" encoding="utf-8"?>
<Properties xmlns="http://schemas.openxmlformats.org/officeDocument/2006/extended-properties" xmlns:vt="http://schemas.openxmlformats.org/officeDocument/2006/docPropsVTypes">
  <Template/>
  <TotalTime>32</TotalTime>
  <Application>LibreOffice/5.2.7.2$Linux_X86_64 LibreOffice_project/20m0$Build-2</Application>
  <Pages>2</Pages>
  <Words>289</Words>
  <Characters>2090</Characters>
  <CharactersWithSpaces>2367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2020-02-28T09:28:39Z</dcterms:modified>
  <cp:revision>31</cp:revision>
  <dc:subject/>
  <dc:title/>
</cp:coreProperties>
</file>