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pPr>
      <w:r>
        <w:rPr>
          <w:rFonts w:ascii="Calibri" w:hAnsi="Calibri"/>
          <w:b/>
          <w:bCs/>
          <w:sz w:val="24"/>
          <w:szCs w:val="24"/>
        </w:rPr>
        <w:t>Resolution 2020-09 [02]</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Approving the</w:t>
      </w:r>
    </w:p>
    <w:p>
      <w:pPr>
        <w:pStyle w:val="Normal"/>
        <w:jc w:val="center"/>
        <w:rPr/>
      </w:pPr>
      <w:bookmarkStart w:id="0" w:name="__DdeLink__1351_825759244"/>
      <w:r>
        <w:rPr>
          <w:rFonts w:ascii="Calibri" w:hAnsi="Calibri"/>
          <w:b/>
          <w:bCs/>
          <w:i w:val="false"/>
          <w:iCs w:val="false"/>
          <w:sz w:val="32"/>
          <w:szCs w:val="32"/>
        </w:rPr>
        <w:t xml:space="preserve">Amendment to the </w:t>
      </w:r>
      <w:bookmarkEnd w:id="0"/>
      <w:r>
        <w:rPr>
          <w:rFonts w:ascii="Calibri" w:hAnsi="Calibri"/>
          <w:b/>
          <w:bCs/>
          <w:i w:val="false"/>
          <w:iCs w:val="false"/>
          <w:sz w:val="32"/>
          <w:szCs w:val="32"/>
        </w:rPr>
        <w:t>Assembly Constitution and By-laws</w:t>
      </w:r>
    </w:p>
    <w:p>
      <w:pPr>
        <w:pStyle w:val="Normal"/>
        <w:jc w:val="center"/>
        <w:rPr/>
      </w:pPr>
      <w:r>
        <w:rPr>
          <w:rFonts w:ascii="Calibri" w:hAnsi="Calibri"/>
          <w:b/>
          <w:bCs/>
          <w:i w:val="false"/>
          <w:iCs w:val="false"/>
          <w:sz w:val="32"/>
          <w:szCs w:val="32"/>
        </w:rPr>
        <w:t xml:space="preserve">Making Grant Campus Adjunct Faculty </w:t>
      </w:r>
    </w:p>
    <w:p>
      <w:pPr>
        <w:pStyle w:val="Normal"/>
        <w:jc w:val="center"/>
        <w:rPr/>
      </w:pPr>
      <w:r>
        <w:rPr>
          <w:rFonts w:ascii="Calibri" w:hAnsi="Calibri"/>
          <w:b/>
          <w:bCs/>
          <w:i w:val="false"/>
          <w:iCs w:val="false"/>
          <w:sz w:val="32"/>
          <w:szCs w:val="32"/>
        </w:rPr>
        <w:t>Non-Voting Members of the Assembly</w:t>
      </w:r>
    </w:p>
    <w:p>
      <w:pPr>
        <w:pStyle w:val="Normal"/>
        <w:jc w:val="center"/>
        <w:rPr>
          <w:b/>
          <w:b/>
          <w:bCs/>
        </w:rPr>
      </w:pPr>
      <w:r>
        <w:rPr>
          <w:b/>
          <w:bCs/>
        </w:rPr>
      </w:r>
    </w:p>
    <w:p>
      <w:pPr>
        <w:pStyle w:val="Normal"/>
        <w:widowControl/>
        <w:bidi w:val="0"/>
        <w:spacing w:before="0" w:after="120"/>
        <w:ind w:left="0" w:right="0" w:hanging="720"/>
        <w:jc w:val="both"/>
        <w:rPr/>
      </w:pPr>
      <w:r>
        <w:rPr>
          <w:rFonts w:ascii="Calibri" w:hAnsi="Calibri"/>
          <w:b/>
          <w:bCs/>
          <w:sz w:val="24"/>
          <w:szCs w:val="24"/>
        </w:rPr>
        <w:tab/>
        <w:t xml:space="preserve">Whereas </w:t>
      </w:r>
      <w:r>
        <w:rPr>
          <w:rFonts w:ascii="Calibri" w:hAnsi="Calibri"/>
          <w:sz w:val="24"/>
          <w:szCs w:val="24"/>
        </w:rPr>
        <w:t>the Assembly Resolution 2019-09 [07] called for participation of adjunct, non-tenure-track faculty in Faculty Governance; and</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widowControl/>
        <w:bidi w:val="0"/>
        <w:spacing w:before="0" w:after="120"/>
        <w:ind w:left="0" w:right="0" w:hanging="0"/>
        <w:jc w:val="both"/>
        <w:rPr/>
      </w:pPr>
      <w:r>
        <w:rPr>
          <w:rFonts w:ascii="Calibri" w:hAnsi="Calibri"/>
          <w:b/>
          <w:bCs/>
          <w:sz w:val="24"/>
          <w:szCs w:val="24"/>
        </w:rPr>
        <w:t>Whereas</w:t>
      </w:r>
      <w:r>
        <w:rPr>
          <w:rFonts w:ascii="Calibri" w:hAnsi="Calibri"/>
          <w:sz w:val="24"/>
          <w:szCs w:val="24"/>
        </w:rPr>
        <w:t xml:space="preserve"> the Adjunct Task Force was formed by the Executive Committee to investigate practicable models for the participation of adjunct faculty in the Academic Assembly and its committees; and</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widowControl/>
        <w:bidi w:val="0"/>
        <w:spacing w:before="0" w:after="120"/>
        <w:ind w:left="0" w:right="0" w:hanging="0"/>
        <w:jc w:val="both"/>
        <w:rPr/>
      </w:pPr>
      <w:r>
        <w:rPr>
          <w:rFonts w:ascii="Calibri" w:hAnsi="Calibri"/>
          <w:b/>
          <w:bCs/>
          <w:sz w:val="24"/>
          <w:szCs w:val="24"/>
        </w:rPr>
        <w:t>Whereas</w:t>
      </w:r>
      <w:r>
        <w:rPr>
          <w:rFonts w:ascii="Calibri" w:hAnsi="Calibri"/>
          <w:sz w:val="24"/>
          <w:szCs w:val="24"/>
        </w:rPr>
        <w:t xml:space="preserve"> the Adjunct Task Force has recommended that adjunct faculty </w:t>
      </w:r>
      <w:bookmarkStart w:id="1" w:name="__DdeLink__532_475268622"/>
      <w:r>
        <w:rPr>
          <w:rFonts w:ascii="Calibri" w:hAnsi="Calibri"/>
          <w:sz w:val="24"/>
          <w:szCs w:val="24"/>
        </w:rPr>
        <w:t>who teach at least half of their credit load on the Grant Campus over the past three years or in the current semester</w:t>
      </w:r>
      <w:bookmarkEnd w:id="1"/>
      <w:r>
        <w:rPr>
          <w:rFonts w:ascii="Calibri" w:hAnsi="Calibri"/>
          <w:sz w:val="24"/>
          <w:szCs w:val="24"/>
        </w:rPr>
        <w:t xml:space="preserve"> be non-voting members of the Grant Campus Assembly; therefore be it</w:t>
      </w:r>
    </w:p>
    <w:p>
      <w:pPr>
        <w:pStyle w:val="Normal"/>
        <w:widowControl/>
        <w:bidi w:val="0"/>
        <w:spacing w:before="0" w:after="120"/>
        <w:jc w:val="both"/>
        <w:rPr>
          <w:rFonts w:ascii="Calibri" w:hAnsi="Calibri"/>
          <w:sz w:val="24"/>
          <w:szCs w:val="24"/>
        </w:rPr>
      </w:pPr>
      <w:r>
        <w:rPr>
          <w:rFonts w:ascii="Calibri" w:hAnsi="Calibri"/>
          <w:sz w:val="24"/>
          <w:szCs w:val="24"/>
        </w:rPr>
      </w:r>
    </w:p>
    <w:p>
      <w:pPr>
        <w:pStyle w:val="Normal"/>
        <w:widowControl/>
        <w:bidi w:val="0"/>
        <w:spacing w:before="0" w:after="120"/>
        <w:jc w:val="both"/>
        <w:rPr>
          <w:rFonts w:ascii="Calibri" w:hAnsi="Calibri"/>
          <w:sz w:val="24"/>
          <w:szCs w:val="24"/>
        </w:rPr>
      </w:pPr>
      <w:r>
        <w:rPr>
          <w:rFonts w:ascii="Calibri" w:hAnsi="Calibri"/>
          <w:sz w:val="24"/>
          <w:szCs w:val="24"/>
        </w:rPr>
      </w:r>
    </w:p>
    <w:p>
      <w:pPr>
        <w:pStyle w:val="Normal"/>
        <w:widowControl/>
        <w:bidi w:val="0"/>
        <w:spacing w:before="0" w:after="120"/>
        <w:ind w:left="0" w:right="0" w:hanging="0"/>
        <w:jc w:val="both"/>
        <w:rPr/>
      </w:pPr>
      <w:r>
        <w:rPr>
          <w:rFonts w:ascii="Calibri" w:hAnsi="Calibri"/>
          <w:b/>
          <w:bCs/>
          <w:sz w:val="24"/>
          <w:szCs w:val="24"/>
        </w:rPr>
        <w:t>Resolved</w:t>
      </w:r>
      <w:r>
        <w:rPr>
          <w:rFonts w:ascii="Calibri" w:hAnsi="Calibri"/>
          <w:sz w:val="24"/>
          <w:szCs w:val="24"/>
        </w:rPr>
        <w:t xml:space="preserve"> that the Grant Campus Academic Assembly approves adding the following paragraph as an amendment to the Assembly Constitution. </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t xml:space="preserve">Passed [25-8-9] </w:t>
      </w:r>
      <w:r>
        <w:rPr>
          <w:rFonts w:ascii="Calibri" w:hAnsi="Calibri"/>
          <w:sz w:val="24"/>
          <w:szCs w:val="24"/>
        </w:rPr>
        <w:t>in</w:t>
      </w:r>
      <w:bookmarkStart w:id="2" w:name="__DdeLink__666_1942874924"/>
      <w:bookmarkStart w:id="3" w:name="__DdeLink__1104_475268622"/>
      <w:r>
        <w:rPr>
          <w:rFonts w:ascii="Calibri" w:hAnsi="Calibri"/>
          <w:sz w:val="24"/>
          <w:szCs w:val="24"/>
        </w:rPr>
        <w:t xml:space="preserve"> an online vote open between September 22 and September 29,</w:t>
      </w:r>
      <w:bookmarkEnd w:id="2"/>
      <w:bookmarkEnd w:id="3"/>
      <w:r>
        <w:rPr>
          <w:rFonts w:ascii="Calibri" w:hAnsi="Calibri"/>
          <w:sz w:val="24"/>
          <w:szCs w:val="24"/>
        </w:rPr>
        <w:t xml:space="preserve"> 2020</w:t>
      </w:r>
    </w:p>
    <w:p>
      <w:pPr>
        <w:pStyle w:val="Heading1"/>
        <w:rPr/>
      </w:pPr>
      <w:r>
        <w:rPr/>
        <w:t>ARTICLE II - Membership</w:t>
      </w:r>
    </w:p>
    <w:p>
      <w:pPr>
        <w:pStyle w:val="Normal"/>
        <w:spacing w:beforeAutospacing="1" w:afterAutospacing="1"/>
        <w:ind w:left="1440" w:hanging="1440"/>
        <w:rPr/>
      </w:pPr>
      <w:r>
        <w:rPr>
          <w:rFonts w:cs="Arial"/>
          <w:b/>
          <w:sz w:val="24"/>
          <w:szCs w:val="24"/>
        </w:rPr>
        <w:t>Section 1</w:t>
      </w:r>
      <w:r>
        <w:rPr>
          <w:rFonts w:cs="Arial"/>
          <w:sz w:val="24"/>
          <w:szCs w:val="24"/>
        </w:rPr>
        <w:tab/>
        <w:t>All fulltime professional employees (defined as faculty, guild and exempt personnel) of the Grant Campus shall be members of this Assembly.</w:t>
      </w:r>
    </w:p>
    <w:p>
      <w:pPr>
        <w:pStyle w:val="Normal"/>
        <w:spacing w:beforeAutospacing="1" w:afterAutospacing="1"/>
        <w:ind w:left="1440" w:hanging="1440"/>
        <w:rPr/>
      </w:pPr>
      <w:r>
        <w:rPr>
          <w:rFonts w:cs="Arial"/>
          <w:sz w:val="24"/>
          <w:szCs w:val="24"/>
        </w:rPr>
        <w:tab/>
      </w:r>
      <w:r>
        <w:rPr>
          <w:rFonts w:cs="Arial"/>
          <w:sz w:val="24"/>
          <w:szCs w:val="24"/>
          <w:highlight w:val="yellow"/>
        </w:rPr>
        <w:t>All adjunct faculty having at least half of their credit load on the Grant Campus, either over the past three years or in the current semester, shall be non-voting members of the Assembly.</w:t>
      </w:r>
    </w:p>
    <w:p>
      <w:pPr>
        <w:pStyle w:val="Normal"/>
        <w:spacing w:beforeAutospacing="1" w:afterAutospacing="1"/>
        <w:ind w:left="1440" w:hanging="0"/>
        <w:rPr/>
      </w:pPr>
      <w:r>
        <w:rPr>
          <w:rFonts w:cs="Arial"/>
          <w:sz w:val="24"/>
          <w:szCs w:val="24"/>
        </w:rPr>
        <w:t>All fulltime professional Central employees located primarily or predominantly at the Grant Campus will be considered eligible for Assembly membership. The Chairperson of the Assembly will extend this invitation to such employees and inform the President of the Ammerman Campus Faculty Senate of all who have accepted membership in the Assembly.</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p>
    <w:pPr>
      <w:pStyle w:val="Footer"/>
      <w:jc w:val="center"/>
      <w:rPr/>
    </w:pPr>
    <w:r>
      <w:rPr/>
    </w:r>
  </w:p>
  <w:p>
    <w:pPr>
      <w:pStyle w:val="Footer"/>
      <w:jc w:val="center"/>
      <w:rPr/>
    </w:pPr>
    <w:r>
      <w:rPr/>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paragraph" w:styleId="Heading3">
    <w:name w:val="Heading 3"/>
    <w:basedOn w:val="Normal"/>
    <w:next w:val="Normal"/>
    <w:qFormat/>
    <w:pPr>
      <w:keepNext/>
      <w:ind w:right="-360" w:hanging="0"/>
      <w:outlineLvl w:val="2"/>
    </w:pPr>
    <w:rPr>
      <w:b/>
      <w:sz w:val="24"/>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193">
    <w:name w:val="ListLabel 193"/>
    <w:qFormat/>
    <w:rPr>
      <w:rFonts w:cs="Symbol"/>
      <w:sz w:val="24"/>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78">
    <w:name w:val="ListLabel 78"/>
    <w:qFormat/>
    <w:rPr>
      <w:b/>
      <w:sz w:val="24"/>
    </w:rPr>
  </w:style>
  <w:style w:type="character" w:styleId="ListLabel82">
    <w:name w:val="ListLabel 82"/>
    <w:qFormat/>
    <w:rPr>
      <w:b/>
      <w:sz w:val="24"/>
    </w:rPr>
  </w:style>
  <w:style w:type="character" w:styleId="ListLabel712">
    <w:name w:val="ListLabel 712"/>
    <w:qFormat/>
    <w:rPr>
      <w:rFonts w:cs="Symbol"/>
      <w:sz w:val="24"/>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b/>
      <w:sz w:val="24"/>
    </w:rPr>
  </w:style>
  <w:style w:type="character" w:styleId="ListLabel722">
    <w:name w:val="ListLabel 722"/>
    <w:qFormat/>
    <w:rPr>
      <w:b/>
      <w:sz w:val="24"/>
    </w:rPr>
  </w:style>
  <w:style w:type="character" w:styleId="ListLabel723">
    <w:name w:val="ListLabel 723"/>
    <w:qFormat/>
    <w:rPr>
      <w:rFonts w:cs="Symbol"/>
      <w:sz w:val="24"/>
    </w:rPr>
  </w:style>
  <w:style w:type="character" w:styleId="ListLabel724">
    <w:name w:val="ListLabel 724"/>
    <w:qFormat/>
    <w:rPr>
      <w:rFonts w:cs="Courier New"/>
    </w:rPr>
  </w:style>
  <w:style w:type="character" w:styleId="ListLabel725">
    <w:name w:val="ListLabel 725"/>
    <w:qFormat/>
    <w:rPr>
      <w:rFonts w:cs="Wingdings"/>
    </w:rPr>
  </w:style>
  <w:style w:type="character" w:styleId="ListLabel726">
    <w:name w:val="ListLabel 726"/>
    <w:qFormat/>
    <w:rPr>
      <w:rFonts w:cs="Symbol"/>
    </w:rPr>
  </w:style>
  <w:style w:type="character" w:styleId="ListLabel727">
    <w:name w:val="ListLabel 727"/>
    <w:qFormat/>
    <w:rPr>
      <w:rFonts w:cs="Courier New"/>
    </w:rPr>
  </w:style>
  <w:style w:type="character" w:styleId="ListLabel728">
    <w:name w:val="ListLabel 728"/>
    <w:qFormat/>
    <w:rPr>
      <w:rFonts w:cs="Wingdings"/>
    </w:rPr>
  </w:style>
  <w:style w:type="character" w:styleId="ListLabel729">
    <w:name w:val="ListLabel 729"/>
    <w:qFormat/>
    <w:rPr>
      <w:rFonts w:cs="Symbol"/>
    </w:rPr>
  </w:style>
  <w:style w:type="character" w:styleId="ListLabel730">
    <w:name w:val="ListLabel 730"/>
    <w:qFormat/>
    <w:rPr>
      <w:rFonts w:cs="Courier New"/>
    </w:rPr>
  </w:style>
  <w:style w:type="character" w:styleId="ListLabel731">
    <w:name w:val="ListLabel 731"/>
    <w:qFormat/>
    <w:rPr>
      <w:rFonts w:cs="Wingdings"/>
    </w:rPr>
  </w:style>
  <w:style w:type="character" w:styleId="ListLabel732">
    <w:name w:val="ListLabel 732"/>
    <w:qFormat/>
    <w:rPr>
      <w:b/>
      <w:sz w:val="24"/>
    </w:rPr>
  </w:style>
  <w:style w:type="character" w:styleId="ListLabel733">
    <w:name w:val="ListLabel 733"/>
    <w:qFormat/>
    <w:rPr>
      <w:b/>
      <w:sz w:val="24"/>
    </w:rPr>
  </w:style>
  <w:style w:type="character" w:styleId="NumberingSymbols">
    <w:name w:val="Numbering Symbols"/>
    <w:qFormat/>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79</TotalTime>
  <Application>LibreOffice/5.2.7.2$Linux_X86_64 LibreOffice_project/20m0$Build-2</Application>
  <Pages>2</Pages>
  <Words>266</Words>
  <Characters>1471</Characters>
  <CharactersWithSpaces>1726</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2020-10-29T02:59:30Z</dcterms:modified>
  <cp:revision>56</cp:revision>
  <dc:subject/>
  <dc:title/>
</cp:coreProperties>
</file>