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media/image1.jpeg" ContentType="image/jpeg"/>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overflowPunct w:val="false"/>
        <w:bidi w:val="0"/>
        <w:spacing w:lineRule="auto" w:line="240" w:before="0" w:after="202"/>
        <w:ind w:left="0" w:right="0" w:hanging="0"/>
        <w:jc w:val="center"/>
        <w:rPr>
          <w:rFonts w:ascii="Calibri" w:hAnsi="Calibri"/>
          <w:sz w:val="26"/>
          <w:szCs w:val="26"/>
        </w:rPr>
      </w:pPr>
      <w:r>
        <w:rPr>
          <w:rFonts w:ascii="Calibri" w:hAnsi="Calibri"/>
          <w:sz w:val="26"/>
          <w:szCs w:val="26"/>
        </w:rPr>
      </w:r>
    </w:p>
    <w:p>
      <w:pPr>
        <w:pStyle w:val="Normal"/>
        <w:bidi w:val="0"/>
        <w:spacing w:lineRule="auto" w:line="240" w:before="0" w:after="202"/>
        <w:ind w:left="-115" w:right="0" w:hanging="0"/>
        <w:jc w:val="center"/>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230" w:right="0" w:hanging="0"/>
        <w:jc w:val="center"/>
        <w:rPr/>
      </w:pPr>
      <w:r>
        <w:rPr>
          <w:rFonts w:ascii="Calibri" w:hAnsi="Calibri"/>
          <w:sz w:val="26"/>
          <w:szCs w:val="26"/>
        </w:rPr>
        <w:t>County Community College</w:t>
        <w:br/>
        <w:t xml:space="preserve">Michael J. Grant Campus </w:t>
      </w:r>
    </w:p>
    <w:p>
      <w:pPr>
        <w:pStyle w:val="Normal"/>
        <w:jc w:val="center"/>
        <w:rPr/>
      </w:pPr>
      <w:r>
        <w:rPr>
          <w:rFonts w:ascii="Calibri" w:hAnsi="Calibri"/>
          <w:sz w:val="48"/>
          <w:szCs w:val="48"/>
        </w:rPr>
        <w:t>Academic Assembly</w:t>
      </w:r>
    </w:p>
    <w:p>
      <w:pPr>
        <w:pStyle w:val="Normal"/>
        <w:jc w:val="center"/>
        <w:rPr/>
      </w:pPr>
      <w:r>
        <w:rPr>
          <w:rFonts w:ascii="Calibri" w:hAnsi="Calibri"/>
          <w:b/>
          <w:bCs/>
          <w:sz w:val="24"/>
          <w:szCs w:val="24"/>
        </w:rPr>
        <w:t>Resolution 2021-02 [22]</w:t>
      </w:r>
    </w:p>
    <w:p>
      <w:pPr>
        <w:pStyle w:val="Normal"/>
        <w:jc w:val="center"/>
        <w:rPr>
          <w:rFonts w:ascii="Calibri" w:hAnsi="Calibri"/>
          <w:b/>
          <w:b/>
          <w:bCs/>
          <w:sz w:val="24"/>
          <w:szCs w:val="24"/>
        </w:rPr>
      </w:pPr>
      <w:r>
        <w:rPr>
          <w:rFonts w:ascii="Calibri" w:hAnsi="Calibri"/>
          <w:b/>
          <w:bCs/>
          <w:sz w:val="24"/>
          <w:szCs w:val="24"/>
        </w:rPr>
      </w:r>
    </w:p>
    <w:p>
      <w:pPr>
        <w:pStyle w:val="Normal"/>
        <w:jc w:val="center"/>
        <w:rPr/>
      </w:pPr>
      <w:r>
        <w:rPr>
          <w:rFonts w:ascii="Calibri" w:hAnsi="Calibri"/>
          <w:b/>
          <w:bCs/>
          <w:sz w:val="32"/>
          <w:szCs w:val="32"/>
        </w:rPr>
        <w:t>Endorsing FCCC EC</w:t>
      </w:r>
    </w:p>
    <w:p>
      <w:pPr>
        <w:pStyle w:val="Normal"/>
        <w:jc w:val="center"/>
        <w:rPr/>
      </w:pPr>
      <w:r>
        <w:rPr>
          <w:rFonts w:ascii="Calibri" w:hAnsi="Calibri"/>
          <w:b/>
          <w:bCs/>
          <w:i w:val="false"/>
          <w:iCs w:val="false"/>
          <w:sz w:val="32"/>
          <w:szCs w:val="32"/>
        </w:rPr>
        <w:t>Resolution E2.2020-2021 on</w:t>
      </w:r>
    </w:p>
    <w:p>
      <w:pPr>
        <w:pStyle w:val="Normal"/>
        <w:jc w:val="center"/>
        <w:rPr/>
      </w:pPr>
      <w:r>
        <w:rPr>
          <w:rStyle w:val="Emphasis"/>
          <w:rFonts w:ascii="Calibri" w:hAnsi="Calibri"/>
          <w:b/>
          <w:bCs/>
          <w:sz w:val="32"/>
          <w:szCs w:val="32"/>
        </w:rPr>
        <w:t>SUNY General Education Framework Timeline</w:t>
      </w:r>
    </w:p>
    <w:p>
      <w:pPr>
        <w:pStyle w:val="Normal"/>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false"/>
        <w:bidi w:val="0"/>
        <w:ind w:left="0" w:right="0" w:hanging="0"/>
        <w:jc w:val="both"/>
        <w:rPr/>
      </w:pPr>
      <w:r>
        <w:rPr>
          <w:rFonts w:ascii="Calibri" w:hAnsi="Calibri"/>
          <w:b/>
          <w:bCs/>
        </w:rPr>
        <w:t>Whereas</w:t>
      </w:r>
      <w:r>
        <w:rPr>
          <w:rFonts w:ascii="Calibri" w:hAnsi="Calibri"/>
        </w:rPr>
        <w:t xml:space="preserve"> the Executive Committee of the Faculty Council of Community Colleges (FCCC EC) passed Resolution </w:t>
      </w:r>
      <w:bookmarkStart w:id="0" w:name="__DdeLink__3538_666250801"/>
      <w:r>
        <w:rPr>
          <w:rFonts w:ascii="Calibri" w:hAnsi="Calibri"/>
        </w:rPr>
        <w:t>E2.2020-2021</w:t>
      </w:r>
      <w:bookmarkEnd w:id="0"/>
      <w:r>
        <w:rPr>
          <w:rFonts w:ascii="Calibri" w:hAnsi="Calibri"/>
        </w:rPr>
        <w:t xml:space="preserve"> on </w:t>
      </w:r>
      <w:bookmarkStart w:id="1" w:name="__DdeLink__3671_666250801"/>
      <w:r>
        <w:rPr>
          <w:rFonts w:ascii="Calibri" w:hAnsi="Calibri"/>
          <w:i/>
          <w:iCs/>
        </w:rPr>
        <w:t>SUNY General Education Framework Timeline</w:t>
      </w:r>
      <w:bookmarkEnd w:id="1"/>
      <w:r>
        <w:rPr>
          <w:rFonts w:ascii="Calibri" w:hAnsi="Calibri"/>
        </w:rPr>
        <w:t xml:space="preserve"> (appended below) on April 20, 2021; and</w:t>
      </w:r>
    </w:p>
    <w:p>
      <w:pPr>
        <w:pStyle w:val="Normal"/>
        <w:widowControl/>
        <w:pBdr>
          <w:bottom w:val="single" w:sz="8" w:space="2" w:color="000000"/>
        </w:pBdr>
        <w:overflowPunct w:val="false"/>
        <w:bidi w:val="0"/>
        <w:ind w:left="0" w:right="0" w:hanging="0"/>
        <w:jc w:val="both"/>
        <w:rPr>
          <w:rFonts w:ascii="Calibri" w:hAnsi="Calibri"/>
        </w:rPr>
      </w:pPr>
      <w:r>
        <w:rPr>
          <w:rFonts w:ascii="Calibri" w:hAnsi="Calibri"/>
        </w:rPr>
      </w:r>
    </w:p>
    <w:p>
      <w:pPr>
        <w:pStyle w:val="Normal"/>
        <w:widowControl/>
        <w:pBdr>
          <w:bottom w:val="single" w:sz="8" w:space="2" w:color="000000"/>
        </w:pBdr>
        <w:overflowPunct w:val="false"/>
        <w:bidi w:val="0"/>
        <w:ind w:left="0" w:right="0" w:hanging="0"/>
        <w:jc w:val="both"/>
        <w:rPr/>
      </w:pPr>
      <w:r>
        <w:rPr>
          <w:rFonts w:ascii="Calibri" w:hAnsi="Calibri"/>
          <w:b/>
          <w:bCs/>
        </w:rPr>
        <w:t>Whereas</w:t>
      </w:r>
      <w:r>
        <w:rPr>
          <w:rFonts w:ascii="Calibri" w:hAnsi="Calibri"/>
        </w:rPr>
        <w:t xml:space="preserve"> the Grant Campus Academic Assembly shares the concerns expressed by the FCCC EC about the implementation time frame of the newly proposed General Education program; therefore be it</w:t>
      </w:r>
    </w:p>
    <w:p>
      <w:pPr>
        <w:pStyle w:val="Normal"/>
        <w:widowControl/>
        <w:pBdr>
          <w:bottom w:val="single" w:sz="8" w:space="2" w:color="000000"/>
        </w:pBdr>
        <w:overflowPunct w:val="false"/>
        <w:bidi w:val="0"/>
        <w:ind w:left="0" w:right="0" w:hanging="0"/>
        <w:jc w:val="both"/>
        <w:rPr>
          <w:rFonts w:ascii="Calibri" w:hAnsi="Calibri"/>
        </w:rPr>
      </w:pPr>
      <w:r>
        <w:rPr>
          <w:rFonts w:ascii="Calibri" w:hAnsi="Calibri"/>
        </w:rPr>
      </w:r>
    </w:p>
    <w:p>
      <w:pPr>
        <w:pStyle w:val="Normal"/>
        <w:widowControl/>
        <w:pBdr>
          <w:bottom w:val="single" w:sz="8" w:space="2" w:color="000000"/>
        </w:pBdr>
        <w:overflowPunct w:val="false"/>
        <w:bidi w:val="0"/>
        <w:ind w:left="0" w:right="0" w:hanging="0"/>
        <w:jc w:val="both"/>
        <w:rPr>
          <w:rFonts w:ascii="Calibri" w:hAnsi="Calibri"/>
        </w:rPr>
      </w:pPr>
      <w:r>
        <w:rPr>
          <w:rFonts w:ascii="Calibri" w:hAnsi="Calibri"/>
        </w:rPr>
      </w:r>
    </w:p>
    <w:p>
      <w:pPr>
        <w:pStyle w:val="Normal"/>
        <w:widowControl/>
        <w:pBdr>
          <w:bottom w:val="single" w:sz="8" w:space="2" w:color="000000"/>
        </w:pBdr>
        <w:overflowPunct w:val="false"/>
        <w:bidi w:val="0"/>
        <w:ind w:left="0" w:right="0" w:hanging="0"/>
        <w:jc w:val="both"/>
        <w:rPr/>
      </w:pPr>
      <w:r>
        <w:rPr>
          <w:rFonts w:ascii="Calibri" w:hAnsi="Calibri"/>
          <w:b/>
          <w:bCs/>
          <w:sz w:val="24"/>
          <w:szCs w:val="24"/>
        </w:rPr>
        <w:t>Resolved</w:t>
      </w:r>
      <w:r>
        <w:rPr>
          <w:rFonts w:ascii="Calibri" w:hAnsi="Calibri"/>
          <w:sz w:val="24"/>
          <w:szCs w:val="24"/>
        </w:rPr>
        <w:t xml:space="preserve"> that the Grant Campus Academic Assembly endorses FCCC Resolution  E2.2020-2021 </w:t>
      </w:r>
      <w:r>
        <w:rPr>
          <w:rFonts w:ascii="Calibri" w:hAnsi="Calibri"/>
          <w:i/>
          <w:iCs/>
          <w:sz w:val="24"/>
          <w:szCs w:val="24"/>
        </w:rPr>
        <w:t>SUNY General Education Framework Timeline</w:t>
      </w:r>
      <w:r>
        <w:rPr>
          <w:rFonts w:ascii="Calibri" w:hAnsi="Calibri"/>
          <w:sz w:val="24"/>
          <w:szCs w:val="24"/>
        </w:rPr>
        <w:t>.</w:t>
      </w:r>
    </w:p>
    <w:p>
      <w:pPr>
        <w:pStyle w:val="Normal"/>
        <w:widowControl/>
        <w:pBdr>
          <w:bottom w:val="single" w:sz="8" w:space="2" w:color="000000"/>
        </w:pBdr>
        <w:overflowPunct w:val="fals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fals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fals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fals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fals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fals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fals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fals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fals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fals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fals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fals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fals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fals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fals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false"/>
        <w:bidi w:val="0"/>
        <w:ind w:left="0" w:right="0" w:hanging="0"/>
        <w:jc w:val="both"/>
        <w:rPr>
          <w:rFonts w:ascii="Calibri" w:hAnsi="Calibri"/>
          <w:sz w:val="24"/>
          <w:szCs w:val="24"/>
        </w:rPr>
      </w:pPr>
      <w:r>
        <w:rPr>
          <w:rFonts w:ascii="Calibri" w:hAnsi="Calibri"/>
          <w:sz w:val="24"/>
          <w:szCs w:val="24"/>
        </w:rPr>
      </w:r>
    </w:p>
    <w:p>
      <w:pPr>
        <w:pStyle w:val="Normal"/>
        <w:widowControl/>
        <w:pBdr>
          <w:bottom w:val="single" w:sz="8" w:space="2" w:color="000000"/>
        </w:pBdr>
        <w:overflowPunct w:val="false"/>
        <w:bidi w:val="0"/>
        <w:ind w:left="0" w:right="0" w:hanging="0"/>
        <w:jc w:val="both"/>
        <w:rPr>
          <w:rFonts w:ascii="Calibri" w:hAnsi="Calibri"/>
          <w:sz w:val="24"/>
          <w:szCs w:val="24"/>
        </w:rPr>
      </w:pPr>
      <w:r>
        <w:rPr>
          <w:rFonts w:ascii="Calibri" w:hAnsi="Calibri"/>
          <w:sz w:val="24"/>
          <w:szCs w:val="24"/>
        </w:rPr>
      </w:r>
    </w:p>
    <w:p>
      <w:pPr>
        <w:pStyle w:val="Normal"/>
        <w:widowControl/>
        <w:overflowPunct w:val="false"/>
        <w:bidi w:val="0"/>
        <w:ind w:left="0" w:right="0" w:hanging="720"/>
        <w:jc w:val="both"/>
        <w:rPr/>
      </w:pPr>
      <w:r>
        <w:rPr>
          <w:rFonts w:ascii="Calibri" w:hAnsi="Calibri"/>
          <w:b/>
          <w:bCs/>
          <w:sz w:val="24"/>
          <w:szCs w:val="24"/>
        </w:rPr>
        <w:tab/>
      </w:r>
      <w:r>
        <w:rPr>
          <w:rFonts w:ascii="Calibri" w:hAnsi="Calibri"/>
          <w:b w:val="false"/>
          <w:bCs w:val="false"/>
          <w:sz w:val="24"/>
          <w:szCs w:val="24"/>
        </w:rPr>
        <w:t>P</w:t>
      </w:r>
      <w:r>
        <w:rPr>
          <w:rFonts w:ascii="Calibri" w:hAnsi="Calibri"/>
          <w:b w:val="false"/>
          <w:bCs w:val="false"/>
          <w:sz w:val="24"/>
          <w:szCs w:val="24"/>
        </w:rPr>
        <w:t xml:space="preserve">assed [30-4-10] </w:t>
      </w:r>
      <w:r>
        <w:rPr>
          <w:rFonts w:ascii="Calibri" w:hAnsi="Calibri"/>
          <w:b w:val="false"/>
          <w:bCs w:val="false"/>
          <w:sz w:val="24"/>
          <w:szCs w:val="24"/>
        </w:rPr>
        <w:t>at April 27, 2021 Assembly meeting</w:t>
      </w:r>
    </w:p>
    <w:p>
      <w:pPr>
        <w:pStyle w:val="Normal"/>
        <w:widowControl/>
        <w:overflowPunct w:val="false"/>
        <w:bidi w:val="0"/>
        <w:ind w:left="0" w:right="0" w:hanging="720"/>
        <w:jc w:val="center"/>
        <w:rPr/>
      </w:pPr>
      <w:r>
        <w:rPr>
          <w:rFonts w:ascii="Calibri" w:hAnsi="Calibri"/>
          <w:b/>
          <w:bCs/>
          <w:sz w:val="32"/>
          <w:szCs w:val="32"/>
        </w:rPr>
        <w:t>Faculty Council of Community Colleges</w:t>
      </w:r>
    </w:p>
    <w:p>
      <w:pPr>
        <w:pStyle w:val="Normal"/>
        <w:widowControl/>
        <w:overflowPunct w:val="false"/>
        <w:bidi w:val="0"/>
        <w:ind w:left="0" w:right="0" w:hanging="720"/>
        <w:jc w:val="center"/>
        <w:rPr>
          <w:b/>
          <w:b/>
          <w:bCs/>
          <w:sz w:val="32"/>
          <w:szCs w:val="32"/>
        </w:rPr>
      </w:pPr>
      <w:r>
        <w:rPr>
          <w:rFonts w:ascii="Calibri" w:hAnsi="Calibri"/>
          <w:b/>
          <w:bCs/>
          <w:sz w:val="32"/>
          <w:szCs w:val="32"/>
        </w:rPr>
        <w:t>SUNY General Education Framework Timeline</w:t>
      </w:r>
    </w:p>
    <w:p>
      <w:pPr>
        <w:pStyle w:val="Normal"/>
        <w:widowControl/>
        <w:overflowPunct w:val="false"/>
        <w:bidi w:val="0"/>
        <w:ind w:left="0" w:right="0" w:hanging="720"/>
        <w:jc w:val="center"/>
        <w:rPr>
          <w:b/>
          <w:b/>
          <w:bCs/>
          <w:sz w:val="32"/>
          <w:szCs w:val="32"/>
        </w:rPr>
      </w:pPr>
      <w:r>
        <w:rPr>
          <w:rFonts w:ascii="Calibri" w:hAnsi="Calibri"/>
          <w:b/>
          <w:bCs/>
          <w:sz w:val="32"/>
          <w:szCs w:val="32"/>
        </w:rPr>
        <w:t>E2.2020-2021</w:t>
      </w:r>
    </w:p>
    <w:p>
      <w:pPr>
        <w:pStyle w:val="Normal"/>
        <w:widowControl/>
        <w:overflowPunct w:val="false"/>
        <w:bidi w:val="0"/>
        <w:ind w:left="0" w:right="0" w:hanging="720"/>
        <w:jc w:val="center"/>
        <w:rPr>
          <w:b/>
          <w:b/>
          <w:bCs/>
          <w:sz w:val="32"/>
          <w:szCs w:val="32"/>
        </w:rPr>
      </w:pPr>
      <w:r>
        <w:rPr>
          <w:rFonts w:ascii="Calibri" w:hAnsi="Calibri"/>
          <w:b/>
          <w:bCs/>
          <w:sz w:val="32"/>
          <w:szCs w:val="32"/>
        </w:rPr>
        <w:t>Passed by the Executive Committee</w:t>
      </w:r>
    </w:p>
    <w:p>
      <w:pPr>
        <w:pStyle w:val="Normal"/>
        <w:widowControl/>
        <w:overflowPunct w:val="false"/>
        <w:bidi w:val="0"/>
        <w:ind w:left="0" w:right="0" w:hanging="720"/>
        <w:jc w:val="center"/>
        <w:rPr>
          <w:b/>
          <w:b/>
          <w:bCs/>
          <w:sz w:val="32"/>
          <w:szCs w:val="32"/>
        </w:rPr>
      </w:pPr>
      <w:r>
        <w:rPr>
          <w:rFonts w:ascii="Calibri" w:hAnsi="Calibri"/>
          <w:b/>
          <w:bCs/>
          <w:sz w:val="32"/>
          <w:szCs w:val="32"/>
        </w:rPr>
        <w:t>April 20, 2021</w:t>
      </w:r>
    </w:p>
    <w:p>
      <w:pPr>
        <w:pStyle w:val="Normal"/>
        <w:widowControl/>
        <w:overflowPunct w:val="false"/>
        <w:bidi w:val="0"/>
        <w:ind w:left="0" w:right="0" w:hanging="720"/>
        <w:jc w:val="center"/>
        <w:rPr>
          <w:rFonts w:ascii="Calibri" w:hAnsi="Calibri"/>
        </w:rPr>
      </w:pPr>
      <w:r>
        <w:rPr>
          <w:rFonts w:ascii="Calibri" w:hAnsi="Calibri"/>
        </w:rPr>
      </w:r>
    </w:p>
    <w:p>
      <w:pPr>
        <w:pStyle w:val="Normal"/>
        <w:widowControl/>
        <w:overflowPunct w:val="false"/>
        <w:bidi w:val="0"/>
        <w:ind w:left="0" w:right="0" w:hanging="0"/>
        <w:jc w:val="both"/>
        <w:rPr/>
      </w:pPr>
      <w:r>
        <w:rPr>
          <w:rFonts w:ascii="Calibri" w:hAnsi="Calibri"/>
          <w:b/>
          <w:bCs/>
          <w:sz w:val="24"/>
          <w:szCs w:val="24"/>
        </w:rPr>
        <w:t>WHEREAS</w:t>
      </w:r>
      <w:r>
        <w:rPr>
          <w:rFonts w:ascii="Calibri" w:hAnsi="Calibri"/>
          <w:b w:val="false"/>
          <w:bCs w:val="false"/>
          <w:sz w:val="24"/>
          <w:szCs w:val="24"/>
        </w:rPr>
        <w:t xml:space="preserve"> the SUNY General Education program has been required and integrated into all community college AA and AS programs for twenty-two years, and</w:t>
      </w:r>
    </w:p>
    <w:p>
      <w:pPr>
        <w:pStyle w:val="Normal"/>
        <w:widowControl/>
        <w:overflowPunct w:val="false"/>
        <w:bidi w:val="0"/>
        <w:ind w:left="0" w:right="0" w:hanging="0"/>
        <w:jc w:val="both"/>
        <w:rPr>
          <w:rFonts w:ascii="Calibri" w:hAnsi="Calibri"/>
          <w:b w:val="false"/>
          <w:b w:val="false"/>
          <w:bCs w:val="false"/>
          <w:sz w:val="24"/>
          <w:szCs w:val="24"/>
        </w:rPr>
      </w:pPr>
      <w:r>
        <w:rPr>
          <w:rFonts w:ascii="Calibri" w:hAnsi="Calibri"/>
          <w:b w:val="false"/>
          <w:bCs w:val="false"/>
          <w:sz w:val="24"/>
          <w:szCs w:val="24"/>
        </w:rPr>
      </w:r>
    </w:p>
    <w:p>
      <w:pPr>
        <w:pStyle w:val="Normal"/>
        <w:widowControl/>
        <w:overflowPunct w:val="false"/>
        <w:bidi w:val="0"/>
        <w:ind w:left="0" w:right="0" w:hanging="0"/>
        <w:jc w:val="both"/>
        <w:rPr/>
      </w:pPr>
      <w:r>
        <w:rPr>
          <w:rFonts w:ascii="Calibri" w:hAnsi="Calibri"/>
          <w:b/>
          <w:bCs/>
          <w:sz w:val="24"/>
          <w:szCs w:val="24"/>
        </w:rPr>
        <w:t>WHEREAS</w:t>
      </w:r>
      <w:r>
        <w:rPr>
          <w:rFonts w:ascii="Calibri" w:hAnsi="Calibri"/>
          <w:b w:val="false"/>
          <w:bCs w:val="false"/>
          <w:sz w:val="24"/>
          <w:szCs w:val="24"/>
        </w:rPr>
        <w:t xml:space="preserve"> the SUNY General Education framework as proposed by the General Education Advisory</w:t>
      </w:r>
    </w:p>
    <w:p>
      <w:pPr>
        <w:pStyle w:val="Normal"/>
        <w:widowControl/>
        <w:overflowPunct w:val="false"/>
        <w:bidi w:val="0"/>
        <w:ind w:left="0" w:right="0" w:hanging="0"/>
        <w:jc w:val="both"/>
        <w:rPr/>
      </w:pPr>
      <w:r>
        <w:rPr>
          <w:rFonts w:ascii="Calibri" w:hAnsi="Calibri"/>
          <w:b w:val="false"/>
          <w:bCs w:val="false"/>
          <w:sz w:val="24"/>
          <w:szCs w:val="24"/>
        </w:rPr>
        <w:t>Committee (GEAC) recommends the elimination of two knowledge areas and the creation of four new competencies, and</w:t>
      </w:r>
    </w:p>
    <w:p>
      <w:pPr>
        <w:pStyle w:val="Normal"/>
        <w:widowControl/>
        <w:overflowPunct w:val="false"/>
        <w:bidi w:val="0"/>
        <w:ind w:left="0" w:right="0" w:hanging="0"/>
        <w:jc w:val="both"/>
        <w:rPr>
          <w:rFonts w:ascii="Calibri" w:hAnsi="Calibri"/>
          <w:b w:val="false"/>
          <w:b w:val="false"/>
          <w:bCs w:val="false"/>
          <w:sz w:val="24"/>
          <w:szCs w:val="24"/>
        </w:rPr>
      </w:pPr>
      <w:r>
        <w:rPr>
          <w:rFonts w:ascii="Calibri" w:hAnsi="Calibri"/>
          <w:b w:val="false"/>
          <w:bCs w:val="false"/>
          <w:sz w:val="24"/>
          <w:szCs w:val="24"/>
        </w:rPr>
      </w:r>
    </w:p>
    <w:p>
      <w:pPr>
        <w:pStyle w:val="Normal"/>
        <w:widowControl/>
        <w:overflowPunct w:val="false"/>
        <w:bidi w:val="0"/>
        <w:ind w:left="0" w:right="0" w:hanging="0"/>
        <w:jc w:val="both"/>
        <w:rPr/>
      </w:pPr>
      <w:r>
        <w:rPr>
          <w:rFonts w:ascii="Calibri" w:hAnsi="Calibri"/>
          <w:b/>
          <w:bCs/>
          <w:sz w:val="24"/>
          <w:szCs w:val="24"/>
        </w:rPr>
        <w:t>WHEREAS</w:t>
      </w:r>
      <w:r>
        <w:rPr>
          <w:rFonts w:ascii="Calibri" w:hAnsi="Calibri"/>
          <w:b w:val="false"/>
          <w:bCs w:val="false"/>
          <w:sz w:val="24"/>
          <w:szCs w:val="24"/>
        </w:rPr>
        <w:t xml:space="preserve"> the SUNY GEAC recommends revised learning outcomes for eight knowledge areas and six competencies, and</w:t>
      </w:r>
    </w:p>
    <w:p>
      <w:pPr>
        <w:pStyle w:val="Normal"/>
        <w:widowControl/>
        <w:overflowPunct w:val="false"/>
        <w:bidi w:val="0"/>
        <w:ind w:left="0" w:right="0" w:hanging="0"/>
        <w:jc w:val="both"/>
        <w:rPr>
          <w:rFonts w:ascii="Calibri" w:hAnsi="Calibri"/>
          <w:b w:val="false"/>
          <w:b w:val="false"/>
          <w:bCs w:val="false"/>
          <w:sz w:val="24"/>
          <w:szCs w:val="24"/>
        </w:rPr>
      </w:pPr>
      <w:r>
        <w:rPr>
          <w:rFonts w:ascii="Calibri" w:hAnsi="Calibri"/>
          <w:b w:val="false"/>
          <w:bCs w:val="false"/>
          <w:sz w:val="24"/>
          <w:szCs w:val="24"/>
        </w:rPr>
      </w:r>
    </w:p>
    <w:p>
      <w:pPr>
        <w:pStyle w:val="Normal"/>
        <w:widowControl/>
        <w:overflowPunct w:val="false"/>
        <w:bidi w:val="0"/>
        <w:ind w:left="0" w:right="0" w:hanging="0"/>
        <w:jc w:val="both"/>
        <w:rPr/>
      </w:pPr>
      <w:r>
        <w:rPr>
          <w:rFonts w:ascii="Calibri" w:hAnsi="Calibri"/>
          <w:b/>
          <w:bCs/>
          <w:sz w:val="24"/>
          <w:szCs w:val="24"/>
        </w:rPr>
        <w:t>WHEREAS</w:t>
      </w:r>
      <w:r>
        <w:rPr>
          <w:rFonts w:ascii="Calibri" w:hAnsi="Calibri"/>
          <w:b w:val="false"/>
          <w:bCs w:val="false"/>
          <w:sz w:val="24"/>
          <w:szCs w:val="24"/>
        </w:rPr>
        <w:t xml:space="preserve"> the faculty at all sixty-four campuses will have to review their entire reserve of general</w:t>
      </w:r>
    </w:p>
    <w:p>
      <w:pPr>
        <w:pStyle w:val="Normal"/>
        <w:widowControl/>
        <w:overflowPunct w:val="false"/>
        <w:bidi w:val="0"/>
        <w:ind w:left="0" w:right="0" w:hanging="0"/>
        <w:jc w:val="both"/>
        <w:rPr/>
      </w:pPr>
      <w:r>
        <w:rPr>
          <w:rFonts w:ascii="Calibri" w:hAnsi="Calibri"/>
          <w:b w:val="false"/>
          <w:bCs w:val="false"/>
          <w:sz w:val="24"/>
          <w:szCs w:val="24"/>
        </w:rPr>
        <w:t>education courses to determine if those courses meet the newly proposed learning outcomes as</w:t>
      </w:r>
    </w:p>
    <w:p>
      <w:pPr>
        <w:pStyle w:val="Normal"/>
        <w:widowControl/>
        <w:overflowPunct w:val="false"/>
        <w:bidi w:val="0"/>
        <w:ind w:left="0" w:right="0" w:hanging="0"/>
        <w:jc w:val="both"/>
        <w:rPr/>
      </w:pPr>
      <w:r>
        <w:rPr>
          <w:rFonts w:ascii="Calibri" w:hAnsi="Calibri"/>
          <w:b w:val="false"/>
          <w:bCs w:val="false"/>
          <w:sz w:val="24"/>
          <w:szCs w:val="24"/>
        </w:rPr>
        <w:t>proposed by GEAC, and</w:t>
      </w:r>
    </w:p>
    <w:p>
      <w:pPr>
        <w:pStyle w:val="Normal"/>
        <w:widowControl/>
        <w:overflowPunct w:val="false"/>
        <w:bidi w:val="0"/>
        <w:ind w:left="0" w:right="0" w:hanging="0"/>
        <w:jc w:val="both"/>
        <w:rPr>
          <w:rFonts w:ascii="Calibri" w:hAnsi="Calibri"/>
          <w:b w:val="false"/>
          <w:b w:val="false"/>
          <w:bCs w:val="false"/>
          <w:sz w:val="24"/>
          <w:szCs w:val="24"/>
        </w:rPr>
      </w:pPr>
      <w:r>
        <w:rPr>
          <w:rFonts w:ascii="Calibri" w:hAnsi="Calibri"/>
          <w:b w:val="false"/>
          <w:bCs w:val="false"/>
          <w:sz w:val="24"/>
          <w:szCs w:val="24"/>
        </w:rPr>
      </w:r>
    </w:p>
    <w:p>
      <w:pPr>
        <w:pStyle w:val="Normal"/>
        <w:widowControl/>
        <w:overflowPunct w:val="false"/>
        <w:bidi w:val="0"/>
        <w:ind w:left="0" w:right="0" w:hanging="0"/>
        <w:jc w:val="both"/>
        <w:rPr/>
      </w:pPr>
      <w:r>
        <w:rPr>
          <w:rFonts w:ascii="Calibri" w:hAnsi="Calibri"/>
          <w:b/>
          <w:bCs/>
          <w:sz w:val="24"/>
          <w:szCs w:val="24"/>
        </w:rPr>
        <w:t>WHEREAS</w:t>
      </w:r>
      <w:r>
        <w:rPr>
          <w:rFonts w:ascii="Calibri" w:hAnsi="Calibri"/>
          <w:b w:val="false"/>
          <w:bCs w:val="false"/>
          <w:sz w:val="24"/>
          <w:szCs w:val="24"/>
        </w:rPr>
        <w:t xml:space="preserve"> the faculty at all sixty-four campuses will have to review </w:t>
      </w:r>
      <w:r>
        <w:rPr>
          <w:rFonts w:ascii="Calibri" w:hAnsi="Calibri"/>
          <w:b/>
          <w:bCs/>
          <w:sz w:val="24"/>
          <w:szCs w:val="24"/>
        </w:rPr>
        <w:t>all</w:t>
      </w:r>
      <w:r>
        <w:rPr>
          <w:rFonts w:ascii="Calibri" w:hAnsi="Calibri"/>
          <w:b w:val="false"/>
          <w:bCs w:val="false"/>
          <w:sz w:val="24"/>
          <w:szCs w:val="24"/>
        </w:rPr>
        <w:t xml:space="preserve"> of their existing BA, BS, AA, and AS programs to ensure their degree requirements meet the integration of six new competencies, increased from two competencies, and</w:t>
      </w:r>
    </w:p>
    <w:p>
      <w:pPr>
        <w:pStyle w:val="Normal"/>
        <w:widowControl/>
        <w:overflowPunct w:val="false"/>
        <w:bidi w:val="0"/>
        <w:ind w:left="0" w:right="0" w:hanging="0"/>
        <w:jc w:val="both"/>
        <w:rPr>
          <w:rFonts w:ascii="Calibri" w:hAnsi="Calibri"/>
          <w:b w:val="false"/>
          <w:b w:val="false"/>
          <w:bCs w:val="false"/>
          <w:sz w:val="24"/>
          <w:szCs w:val="24"/>
        </w:rPr>
      </w:pPr>
      <w:r>
        <w:rPr>
          <w:rFonts w:ascii="Calibri" w:hAnsi="Calibri"/>
          <w:b w:val="false"/>
          <w:bCs w:val="false"/>
          <w:sz w:val="24"/>
          <w:szCs w:val="24"/>
        </w:rPr>
      </w:r>
    </w:p>
    <w:p>
      <w:pPr>
        <w:pStyle w:val="Normal"/>
        <w:widowControl/>
        <w:overflowPunct w:val="false"/>
        <w:bidi w:val="0"/>
        <w:ind w:left="0" w:right="0" w:hanging="0"/>
        <w:jc w:val="both"/>
        <w:rPr/>
      </w:pPr>
      <w:r>
        <w:rPr>
          <w:rFonts w:ascii="Calibri" w:hAnsi="Calibri"/>
          <w:b/>
          <w:bCs/>
          <w:sz w:val="24"/>
          <w:szCs w:val="24"/>
        </w:rPr>
        <w:t>WHEREAS</w:t>
      </w:r>
      <w:r>
        <w:rPr>
          <w:rFonts w:ascii="Calibri" w:hAnsi="Calibri"/>
          <w:b w:val="false"/>
          <w:bCs w:val="false"/>
          <w:sz w:val="24"/>
          <w:szCs w:val="24"/>
        </w:rPr>
        <w:t xml:space="preserve"> the faculty at all sixty-four campuses will have to review </w:t>
      </w:r>
      <w:r>
        <w:rPr>
          <w:rFonts w:ascii="Calibri" w:hAnsi="Calibri"/>
          <w:b/>
          <w:bCs/>
          <w:sz w:val="24"/>
          <w:szCs w:val="24"/>
        </w:rPr>
        <w:t>all</w:t>
      </w:r>
      <w:r>
        <w:rPr>
          <w:rFonts w:ascii="Calibri" w:hAnsi="Calibri"/>
          <w:b w:val="false"/>
          <w:bCs w:val="false"/>
          <w:sz w:val="24"/>
          <w:szCs w:val="24"/>
        </w:rPr>
        <w:t xml:space="preserve"> of their existing programs to</w:t>
      </w:r>
    </w:p>
    <w:p>
      <w:pPr>
        <w:pStyle w:val="Normal"/>
        <w:widowControl/>
        <w:overflowPunct w:val="false"/>
        <w:bidi w:val="0"/>
        <w:ind w:left="0" w:right="0" w:hanging="0"/>
        <w:jc w:val="both"/>
        <w:rPr/>
      </w:pPr>
      <w:r>
        <w:rPr>
          <w:rFonts w:ascii="Calibri" w:hAnsi="Calibri"/>
          <w:b w:val="false"/>
          <w:bCs w:val="false"/>
          <w:sz w:val="24"/>
          <w:szCs w:val="24"/>
        </w:rPr>
        <w:t>ensure their degree requirements allow for the fulfillment of eight knowledge areas, with scientific</w:t>
      </w:r>
    </w:p>
    <w:p>
      <w:pPr>
        <w:pStyle w:val="Normal"/>
        <w:widowControl/>
        <w:overflowPunct w:val="false"/>
        <w:bidi w:val="0"/>
        <w:ind w:left="0" w:right="0" w:hanging="0"/>
        <w:jc w:val="both"/>
        <w:rPr/>
      </w:pPr>
      <w:r>
        <w:rPr>
          <w:rFonts w:ascii="Calibri" w:hAnsi="Calibri"/>
          <w:b w:val="false"/>
          <w:bCs w:val="false"/>
          <w:sz w:val="24"/>
          <w:szCs w:val="24"/>
        </w:rPr>
        <w:t>reasoning newly required, and</w:t>
      </w:r>
    </w:p>
    <w:p>
      <w:pPr>
        <w:pStyle w:val="Normal"/>
        <w:widowControl/>
        <w:overflowPunct w:val="false"/>
        <w:bidi w:val="0"/>
        <w:ind w:left="0" w:right="0" w:hanging="0"/>
        <w:jc w:val="both"/>
        <w:rPr>
          <w:rFonts w:ascii="Calibri" w:hAnsi="Calibri"/>
          <w:b w:val="false"/>
          <w:b w:val="false"/>
          <w:bCs w:val="false"/>
          <w:sz w:val="24"/>
          <w:szCs w:val="24"/>
        </w:rPr>
      </w:pPr>
      <w:r>
        <w:rPr>
          <w:rFonts w:ascii="Calibri" w:hAnsi="Calibri"/>
          <w:b w:val="false"/>
          <w:bCs w:val="false"/>
          <w:sz w:val="24"/>
          <w:szCs w:val="24"/>
        </w:rPr>
      </w:r>
    </w:p>
    <w:p>
      <w:pPr>
        <w:pStyle w:val="Normal"/>
        <w:widowControl/>
        <w:overflowPunct w:val="false"/>
        <w:bidi w:val="0"/>
        <w:ind w:left="0" w:right="0" w:hanging="0"/>
        <w:jc w:val="both"/>
        <w:rPr/>
      </w:pPr>
      <w:r>
        <w:rPr>
          <w:rFonts w:ascii="Calibri" w:hAnsi="Calibri"/>
          <w:b/>
          <w:bCs/>
          <w:sz w:val="24"/>
          <w:szCs w:val="24"/>
        </w:rPr>
        <w:t>WHEREAS</w:t>
      </w:r>
      <w:r>
        <w:rPr>
          <w:rFonts w:ascii="Calibri" w:hAnsi="Calibri"/>
          <w:b w:val="false"/>
          <w:bCs w:val="false"/>
          <w:sz w:val="24"/>
          <w:szCs w:val="24"/>
        </w:rPr>
        <w:t xml:space="preserve"> GEAC is recommending that AAS and AOS will be included in the requirement to fulfill the SUNY General Education program for the first time, and</w:t>
      </w:r>
    </w:p>
    <w:p>
      <w:pPr>
        <w:pStyle w:val="Normal"/>
        <w:widowControl/>
        <w:overflowPunct w:val="false"/>
        <w:bidi w:val="0"/>
        <w:ind w:left="0" w:right="0" w:hanging="0"/>
        <w:jc w:val="both"/>
        <w:rPr>
          <w:rFonts w:ascii="Calibri" w:hAnsi="Calibri"/>
          <w:b w:val="false"/>
          <w:b w:val="false"/>
          <w:bCs w:val="false"/>
          <w:sz w:val="24"/>
          <w:szCs w:val="24"/>
        </w:rPr>
      </w:pPr>
      <w:r>
        <w:rPr>
          <w:rFonts w:ascii="Calibri" w:hAnsi="Calibri"/>
          <w:b w:val="false"/>
          <w:bCs w:val="false"/>
          <w:sz w:val="24"/>
          <w:szCs w:val="24"/>
        </w:rPr>
      </w:r>
    </w:p>
    <w:p>
      <w:pPr>
        <w:pStyle w:val="Normal"/>
        <w:widowControl/>
        <w:overflowPunct w:val="false"/>
        <w:bidi w:val="0"/>
        <w:ind w:left="0" w:right="0" w:hanging="0"/>
        <w:jc w:val="both"/>
        <w:rPr/>
      </w:pPr>
      <w:r>
        <w:rPr>
          <w:rFonts w:ascii="Calibri" w:hAnsi="Calibri"/>
          <w:b/>
          <w:bCs/>
          <w:sz w:val="24"/>
          <w:szCs w:val="24"/>
        </w:rPr>
        <w:t>WHEREAS</w:t>
      </w:r>
      <w:r>
        <w:rPr>
          <w:rFonts w:ascii="Calibri" w:hAnsi="Calibri"/>
          <w:b w:val="false"/>
          <w:bCs w:val="false"/>
          <w:sz w:val="24"/>
          <w:szCs w:val="24"/>
        </w:rPr>
        <w:t xml:space="preserve"> the review and revision of courses and programs at all of SUNY’s campuses involves using established governance processes to ensure the academic integrity of said revisions, and</w:t>
      </w:r>
    </w:p>
    <w:p>
      <w:pPr>
        <w:pStyle w:val="Normal"/>
        <w:widowControl/>
        <w:overflowPunct w:val="false"/>
        <w:bidi w:val="0"/>
        <w:ind w:left="0" w:right="0" w:hanging="0"/>
        <w:jc w:val="both"/>
        <w:rPr>
          <w:rFonts w:ascii="Calibri" w:hAnsi="Calibri"/>
          <w:b w:val="false"/>
          <w:b w:val="false"/>
          <w:bCs w:val="false"/>
          <w:sz w:val="24"/>
          <w:szCs w:val="24"/>
        </w:rPr>
      </w:pPr>
      <w:r>
        <w:rPr>
          <w:rFonts w:ascii="Calibri" w:hAnsi="Calibri"/>
          <w:b w:val="false"/>
          <w:bCs w:val="false"/>
          <w:sz w:val="24"/>
          <w:szCs w:val="24"/>
        </w:rPr>
      </w:r>
    </w:p>
    <w:p>
      <w:pPr>
        <w:pStyle w:val="Normal"/>
        <w:widowControl/>
        <w:overflowPunct w:val="false"/>
        <w:bidi w:val="0"/>
        <w:ind w:left="0" w:right="0" w:hanging="0"/>
        <w:jc w:val="both"/>
        <w:rPr/>
      </w:pPr>
      <w:r>
        <w:rPr>
          <w:rFonts w:ascii="Calibri" w:hAnsi="Calibri"/>
          <w:b/>
          <w:bCs/>
          <w:sz w:val="24"/>
          <w:szCs w:val="24"/>
        </w:rPr>
        <w:t>WHEREAS</w:t>
      </w:r>
      <w:r>
        <w:rPr>
          <w:rFonts w:ascii="Calibri" w:hAnsi="Calibri"/>
          <w:b w:val="false"/>
          <w:bCs w:val="false"/>
          <w:sz w:val="24"/>
          <w:szCs w:val="24"/>
        </w:rPr>
        <w:t xml:space="preserve"> the faculty at our thirty community colleges have been busy ensuring that their courses are being effectively delivered over the past year and a half during the coronavirus pandemic, and</w:t>
      </w:r>
    </w:p>
    <w:p>
      <w:pPr>
        <w:pStyle w:val="Normal"/>
        <w:widowControl/>
        <w:overflowPunct w:val="false"/>
        <w:bidi w:val="0"/>
        <w:ind w:left="0" w:right="0" w:hanging="0"/>
        <w:jc w:val="both"/>
        <w:rPr>
          <w:rFonts w:ascii="Calibri" w:hAnsi="Calibri"/>
          <w:b w:val="false"/>
          <w:b w:val="false"/>
          <w:bCs w:val="false"/>
          <w:sz w:val="24"/>
          <w:szCs w:val="24"/>
        </w:rPr>
      </w:pPr>
      <w:r>
        <w:rPr>
          <w:rFonts w:ascii="Calibri" w:hAnsi="Calibri"/>
          <w:b w:val="false"/>
          <w:bCs w:val="false"/>
          <w:sz w:val="24"/>
          <w:szCs w:val="24"/>
        </w:rPr>
      </w:r>
    </w:p>
    <w:p>
      <w:pPr>
        <w:pStyle w:val="Normal"/>
        <w:widowControl/>
        <w:overflowPunct w:val="false"/>
        <w:bidi w:val="0"/>
        <w:ind w:left="0" w:right="0" w:hanging="0"/>
        <w:jc w:val="both"/>
        <w:rPr/>
      </w:pPr>
      <w:r>
        <w:rPr>
          <w:rFonts w:ascii="Calibri" w:hAnsi="Calibri"/>
          <w:b/>
          <w:bCs/>
          <w:sz w:val="24"/>
          <w:szCs w:val="24"/>
        </w:rPr>
        <w:t>WHEREAS</w:t>
      </w:r>
      <w:r>
        <w:rPr>
          <w:rFonts w:ascii="Calibri" w:hAnsi="Calibri"/>
          <w:b w:val="false"/>
          <w:bCs w:val="false"/>
          <w:sz w:val="24"/>
          <w:szCs w:val="24"/>
        </w:rPr>
        <w:t xml:space="preserve"> the faculty at our thirty community colleges have not engaged with their colleagues during the pandemic to discuss major curricular overhauls in general education to the same degree that they would have in normal times, and</w:t>
      </w:r>
    </w:p>
    <w:p>
      <w:pPr>
        <w:pStyle w:val="Normal"/>
        <w:widowControl/>
        <w:overflowPunct w:val="false"/>
        <w:bidi w:val="0"/>
        <w:ind w:left="0" w:right="0" w:hanging="0"/>
        <w:jc w:val="both"/>
        <w:rPr>
          <w:rFonts w:ascii="Calibri" w:hAnsi="Calibri"/>
          <w:b w:val="false"/>
          <w:b w:val="false"/>
          <w:bCs w:val="false"/>
          <w:sz w:val="24"/>
          <w:szCs w:val="24"/>
        </w:rPr>
      </w:pPr>
      <w:r>
        <w:rPr>
          <w:rFonts w:ascii="Calibri" w:hAnsi="Calibri"/>
          <w:b w:val="false"/>
          <w:bCs w:val="false"/>
          <w:sz w:val="24"/>
          <w:szCs w:val="24"/>
        </w:rPr>
      </w:r>
    </w:p>
    <w:p>
      <w:pPr>
        <w:pStyle w:val="Normal"/>
        <w:widowControl/>
        <w:overflowPunct w:val="false"/>
        <w:bidi w:val="0"/>
        <w:ind w:left="0" w:right="0" w:hanging="0"/>
        <w:jc w:val="both"/>
        <w:rPr/>
      </w:pPr>
      <w:r>
        <w:rPr>
          <w:rFonts w:ascii="Calibri" w:hAnsi="Calibri"/>
          <w:b/>
          <w:bCs/>
          <w:sz w:val="24"/>
          <w:szCs w:val="24"/>
        </w:rPr>
        <w:t>WHEREAS</w:t>
      </w:r>
      <w:r>
        <w:rPr>
          <w:rFonts w:ascii="Calibri" w:hAnsi="Calibri"/>
          <w:b w:val="false"/>
          <w:bCs w:val="false"/>
          <w:sz w:val="24"/>
          <w:szCs w:val="24"/>
        </w:rPr>
        <w:t xml:space="preserve"> the GEAC proposes that incoming students in Fall of 2022 be able to fulfill the as-not-yet adopted SUNY General Education program, and </w:t>
      </w:r>
    </w:p>
    <w:p>
      <w:pPr>
        <w:pStyle w:val="Normal"/>
        <w:widowControl/>
        <w:overflowPunct w:val="false"/>
        <w:bidi w:val="0"/>
        <w:ind w:left="0" w:right="0" w:hanging="0"/>
        <w:jc w:val="both"/>
        <w:rPr>
          <w:rFonts w:ascii="Calibri" w:hAnsi="Calibri"/>
          <w:b w:val="false"/>
          <w:b w:val="false"/>
          <w:bCs w:val="false"/>
          <w:sz w:val="24"/>
          <w:szCs w:val="24"/>
        </w:rPr>
      </w:pPr>
      <w:r>
        <w:rPr>
          <w:rFonts w:ascii="Calibri" w:hAnsi="Calibri"/>
          <w:b w:val="false"/>
          <w:bCs w:val="false"/>
          <w:sz w:val="24"/>
          <w:szCs w:val="24"/>
        </w:rPr>
      </w:r>
    </w:p>
    <w:p>
      <w:pPr>
        <w:pStyle w:val="Normal"/>
        <w:widowControl/>
        <w:overflowPunct w:val="false"/>
        <w:bidi w:val="0"/>
        <w:ind w:left="0" w:right="0" w:hanging="0"/>
        <w:jc w:val="both"/>
        <w:rPr/>
      </w:pPr>
      <w:r>
        <w:rPr>
          <w:rFonts w:ascii="Calibri" w:hAnsi="Calibri"/>
          <w:b/>
          <w:bCs/>
          <w:sz w:val="24"/>
          <w:szCs w:val="24"/>
        </w:rPr>
        <w:t>WHEREAS</w:t>
      </w:r>
      <w:r>
        <w:rPr>
          <w:rFonts w:ascii="Calibri" w:hAnsi="Calibri"/>
          <w:b w:val="false"/>
          <w:bCs w:val="false"/>
          <w:sz w:val="24"/>
          <w:szCs w:val="24"/>
        </w:rPr>
        <w:t xml:space="preserve"> all programs and courses will have to be reviewed for the Fall 2022 incoming student, which does not alleviate any curricular review and revision required of this general education reexamination, therefore</w:t>
      </w:r>
    </w:p>
    <w:p>
      <w:pPr>
        <w:pStyle w:val="Normal"/>
        <w:widowControl/>
        <w:overflowPunct w:val="false"/>
        <w:bidi w:val="0"/>
        <w:ind w:left="0" w:right="0" w:hanging="0"/>
        <w:jc w:val="both"/>
        <w:rPr>
          <w:rFonts w:ascii="Calibri" w:hAnsi="Calibri"/>
          <w:b w:val="false"/>
          <w:b w:val="false"/>
          <w:bCs w:val="false"/>
          <w:sz w:val="24"/>
          <w:szCs w:val="24"/>
        </w:rPr>
      </w:pPr>
      <w:r>
        <w:rPr>
          <w:rFonts w:ascii="Calibri" w:hAnsi="Calibri"/>
          <w:b w:val="false"/>
          <w:bCs w:val="false"/>
          <w:sz w:val="24"/>
          <w:szCs w:val="24"/>
        </w:rPr>
      </w:r>
    </w:p>
    <w:p>
      <w:pPr>
        <w:pStyle w:val="Normal"/>
        <w:widowControl/>
        <w:overflowPunct w:val="false"/>
        <w:bidi w:val="0"/>
        <w:ind w:left="0" w:right="0" w:hanging="0"/>
        <w:jc w:val="both"/>
        <w:rPr>
          <w:rFonts w:ascii="Calibri" w:hAnsi="Calibri"/>
          <w:b w:val="false"/>
          <w:b w:val="false"/>
          <w:bCs w:val="false"/>
          <w:sz w:val="24"/>
          <w:szCs w:val="24"/>
        </w:rPr>
      </w:pPr>
      <w:r>
        <w:rPr>
          <w:rFonts w:ascii="Calibri" w:hAnsi="Calibri"/>
          <w:b w:val="false"/>
          <w:bCs w:val="false"/>
          <w:sz w:val="24"/>
          <w:szCs w:val="24"/>
        </w:rPr>
      </w:r>
    </w:p>
    <w:p>
      <w:pPr>
        <w:pStyle w:val="Normal"/>
        <w:widowControl/>
        <w:overflowPunct w:val="false"/>
        <w:bidi w:val="0"/>
        <w:ind w:left="0" w:right="0" w:hanging="0"/>
        <w:jc w:val="both"/>
        <w:rPr/>
      </w:pPr>
      <w:r>
        <w:rPr>
          <w:rFonts w:ascii="Calibri" w:hAnsi="Calibri"/>
          <w:b/>
          <w:bCs/>
          <w:sz w:val="24"/>
          <w:szCs w:val="24"/>
        </w:rPr>
        <w:t>BE IT RESOLVED</w:t>
      </w:r>
      <w:r>
        <w:rPr>
          <w:rFonts w:ascii="Calibri" w:hAnsi="Calibri"/>
          <w:b w:val="false"/>
          <w:bCs w:val="false"/>
          <w:sz w:val="24"/>
          <w:szCs w:val="24"/>
        </w:rPr>
        <w:t xml:space="preserve"> that the Faculty Council of Community College is committed to ensuring that our SUNY students meet the SUNY General Education program in order to become better 21 st century citizens, as promised by its requirements, and therefore</w:t>
      </w:r>
    </w:p>
    <w:p>
      <w:pPr>
        <w:pStyle w:val="Normal"/>
        <w:widowControl/>
        <w:overflowPunct w:val="false"/>
        <w:bidi w:val="0"/>
        <w:ind w:left="0" w:right="0" w:hanging="0"/>
        <w:jc w:val="both"/>
        <w:rPr>
          <w:rFonts w:ascii="Calibri" w:hAnsi="Calibri"/>
          <w:b w:val="false"/>
          <w:b w:val="false"/>
          <w:bCs w:val="false"/>
          <w:sz w:val="24"/>
          <w:szCs w:val="24"/>
        </w:rPr>
      </w:pPr>
      <w:r>
        <w:rPr>
          <w:rFonts w:ascii="Calibri" w:hAnsi="Calibri"/>
          <w:b w:val="false"/>
          <w:bCs w:val="false"/>
          <w:sz w:val="24"/>
          <w:szCs w:val="24"/>
        </w:rPr>
      </w:r>
    </w:p>
    <w:p>
      <w:pPr>
        <w:pStyle w:val="Normal"/>
        <w:widowControl/>
        <w:overflowPunct w:val="false"/>
        <w:bidi w:val="0"/>
        <w:ind w:left="0" w:right="0" w:hanging="0"/>
        <w:jc w:val="both"/>
        <w:rPr/>
      </w:pPr>
      <w:r>
        <w:rPr>
          <w:rFonts w:ascii="Calibri" w:hAnsi="Calibri"/>
          <w:b/>
          <w:bCs/>
          <w:sz w:val="24"/>
          <w:szCs w:val="24"/>
        </w:rPr>
        <w:t>RESOLVED</w:t>
      </w:r>
      <w:r>
        <w:rPr>
          <w:rFonts w:ascii="Calibri" w:hAnsi="Calibri"/>
          <w:b w:val="false"/>
          <w:bCs w:val="false"/>
          <w:sz w:val="24"/>
          <w:szCs w:val="24"/>
        </w:rPr>
        <w:t xml:space="preserve"> that the proposed Fall 2022 implementation deadline for incoming students to comply with the newly proposed General Education program does not allow for the requisite time needed to make numerous curricular changes, and therefore</w:t>
      </w:r>
    </w:p>
    <w:p>
      <w:pPr>
        <w:pStyle w:val="Normal"/>
        <w:widowControl/>
        <w:overflowPunct w:val="false"/>
        <w:bidi w:val="0"/>
        <w:ind w:left="0" w:right="0" w:hanging="0"/>
        <w:jc w:val="both"/>
        <w:rPr>
          <w:rFonts w:ascii="Calibri" w:hAnsi="Calibri"/>
          <w:b w:val="false"/>
          <w:b w:val="false"/>
          <w:bCs w:val="false"/>
          <w:sz w:val="24"/>
          <w:szCs w:val="24"/>
        </w:rPr>
      </w:pPr>
      <w:r>
        <w:rPr>
          <w:rFonts w:ascii="Calibri" w:hAnsi="Calibri"/>
          <w:b w:val="false"/>
          <w:bCs w:val="false"/>
          <w:sz w:val="24"/>
          <w:szCs w:val="24"/>
        </w:rPr>
      </w:r>
    </w:p>
    <w:p>
      <w:pPr>
        <w:pStyle w:val="Normal"/>
        <w:widowControl/>
        <w:overflowPunct w:val="false"/>
        <w:bidi w:val="0"/>
        <w:ind w:left="0" w:right="0" w:hanging="0"/>
        <w:jc w:val="both"/>
        <w:rPr/>
      </w:pPr>
      <w:r>
        <w:rPr>
          <w:rFonts w:ascii="Calibri" w:hAnsi="Calibri"/>
          <w:b/>
          <w:bCs/>
          <w:sz w:val="24"/>
          <w:szCs w:val="24"/>
        </w:rPr>
        <w:t>RESOLVED</w:t>
      </w:r>
      <w:r>
        <w:rPr>
          <w:rFonts w:ascii="Calibri" w:hAnsi="Calibri"/>
          <w:b w:val="false"/>
          <w:bCs w:val="false"/>
          <w:sz w:val="24"/>
          <w:szCs w:val="24"/>
        </w:rPr>
        <w:t xml:space="preserve"> that the Faculty Council of Community Colleges urges a significantly longer implementation timeframe of at least three years from the date of adoption by the SUNY Board of Trustees to conduct the important work noted above.</w:t>
      </w:r>
    </w:p>
    <w:sectPr>
      <w:footerReference w:type="default" r:id="rId3"/>
      <w:type w:val="nextPage"/>
      <w:pgSz w:w="11906" w:h="16838"/>
      <w:pgMar w:left="1134" w:right="1134" w:header="0" w:top="1134" w:footer="1134" w:bottom="1693"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y">
    <w:charset w:val="01"/>
    <w:family w:val="roman"/>
    <w:pitch w:val="variable"/>
  </w:font>
  <w:font w:name="OpenSymbol">
    <w:altName w:val="Arial Unicode MS"/>
    <w:charset w:val="01"/>
    <w:family w:val="roman"/>
    <w:pitch w:val="variable"/>
  </w:font>
  <w:font w:name="Calibr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3</w:t>
    </w:r>
    <w:r>
      <w:rPr/>
      <w:fldChar w:fldCharType="end"/>
    </w:r>
  </w:p>
</w:ftr>
</file>

<file path=word/settings.xml><?xml version="1.0" encoding="utf-8"?>
<w:settings xmlns:w="http://schemas.openxmlformats.org/wordprocessingml/2006/main">
  <w:zoom w:percent="95"/>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Noto Sans Devanagari"/>
        <w:sz w:val="20"/>
        <w:szCs w:val="24"/>
        <w:lang w:val="en-US"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Regular" w:cs="Noto Sans Devanagari"/>
      <w:color w:val="00000A"/>
      <w:kern w:val="0"/>
      <w:sz w:val="24"/>
      <w:szCs w:val="24"/>
      <w:lang w:val="en-US" w:eastAsia="zh-CN" w:bidi="hi-IN"/>
    </w:rPr>
  </w:style>
  <w:style w:type="paragraph" w:styleId="Heading1">
    <w:name w:val="Heading 1"/>
    <w:basedOn w:val="Heading"/>
    <w:qFormat/>
    <w:pPr/>
    <w:rPr/>
  </w:style>
  <w:style w:type="character" w:styleId="ListLabel433">
    <w:name w:val="ListLabel 433"/>
    <w:qFormat/>
    <w:rPr>
      <w:rFonts w:cs="OpenSymbol"/>
      <w:b w:val="false"/>
      <w:sz w:val="23"/>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sz w:val="23"/>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ascii="Calibry" w:hAnsi="Calibry" w:cs="OpenSymbol"/>
      <w:sz w:val="24"/>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FootnoteAnchor">
    <w:name w:val="Footnote Anchor"/>
    <w:rPr>
      <w:vertAlign w:val="superscript"/>
    </w:rPr>
  </w:style>
  <w:style w:type="character" w:styleId="FootnoteCharacters">
    <w:name w:val="Footnote Characters"/>
    <w:qFormat/>
    <w:rPr>
      <w:vertAlign w:val="superscript"/>
    </w:rPr>
  </w:style>
  <w:style w:type="character" w:styleId="EndnoteAnchor">
    <w:name w:val="Endnote Anchor"/>
    <w:rPr>
      <w:vertAlign w:val="superscript"/>
    </w:rPr>
  </w:style>
  <w:style w:type="character" w:styleId="EndnoteCharacters">
    <w:name w:val="Endnote Characters"/>
    <w:qFormat/>
    <w:rPr/>
  </w:style>
  <w:style w:type="character" w:styleId="ListLabel460">
    <w:name w:val="ListLabel 460"/>
    <w:qFormat/>
    <w:rPr>
      <w:rFonts w:cs="OpenSymbol"/>
      <w:b w:val="false"/>
      <w:sz w:val="23"/>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sz w:val="23"/>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sz w:val="24"/>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b w:val="false"/>
      <w:sz w:val="23"/>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sz w:val="23"/>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sz w:val="24"/>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b w:val="false"/>
      <w:sz w:val="23"/>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sz w:val="23"/>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sz w:val="24"/>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b w:val="false"/>
      <w:sz w:val="23"/>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sz w:val="23"/>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sz w:val="24"/>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b w:val="false"/>
      <w:sz w:val="23"/>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sz w:val="23"/>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sz w:val="24"/>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b w:val="false"/>
      <w:sz w:val="23"/>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sz w:val="23"/>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sz w:val="24"/>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b w:val="false"/>
      <w:sz w:val="23"/>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sz w:val="23"/>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sz w:val="24"/>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b w:val="false"/>
      <w:sz w:val="23"/>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sz w:val="23"/>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sz w:val="24"/>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b w:val="false"/>
      <w:sz w:val="24"/>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sz w:val="24"/>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sz w:val="24"/>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DefaultParagraphFont">
    <w:name w:val="Default Paragraph Font"/>
    <w:qFormat/>
    <w:rPr/>
  </w:style>
  <w:style w:type="character" w:styleId="Bullets">
    <w:name w:val="Bullets"/>
    <w:qFormat/>
    <w:rPr>
      <w:rFonts w:ascii="OpenSymbol" w:hAnsi="OpenSymbol" w:eastAsia="OpenSymbol" w:cs="OpenSymbol"/>
    </w:rPr>
  </w:style>
  <w:style w:type="character" w:styleId="ListLabel703">
    <w:name w:val="ListLabel 703"/>
    <w:qFormat/>
    <w:rPr>
      <w:rFonts w:cs="OpenSymbol"/>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cs="OpenSymbol"/>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rFonts w:cs="OpenSymbol"/>
    </w:rPr>
  </w:style>
  <w:style w:type="character" w:styleId="ListLabel736">
    <w:name w:val="ListLabel 736"/>
    <w:qFormat/>
    <w:rPr>
      <w:rFonts w:cs="OpenSymbol"/>
    </w:rPr>
  </w:style>
  <w:style w:type="character" w:styleId="ListLabel737">
    <w:name w:val="ListLabel 737"/>
    <w:qFormat/>
    <w:rPr>
      <w:rFonts w:cs="OpenSymbol"/>
    </w:rPr>
  </w:style>
  <w:style w:type="character" w:styleId="ListLabel738">
    <w:name w:val="ListLabel 738"/>
    <w:qFormat/>
    <w:rPr>
      <w:rFonts w:cs="OpenSymbol"/>
    </w:rPr>
  </w:style>
  <w:style w:type="character" w:styleId="ListLabel739">
    <w:name w:val="ListLabel 739"/>
    <w:qFormat/>
    <w:rPr>
      <w:rFonts w:cs="OpenSymbol"/>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rFonts w:cs="OpenSymbol"/>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cs="OpenSymbol"/>
    </w:rPr>
  </w:style>
  <w:style w:type="character" w:styleId="ListLabel766">
    <w:name w:val="ListLabel 766"/>
    <w:qFormat/>
    <w:rPr>
      <w:rFonts w:cs="OpenSymbol"/>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cs="OpenSymbol"/>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rFonts w:cs="OpenSymbol"/>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775">
    <w:name w:val="ListLabel 775"/>
    <w:qFormat/>
    <w:rPr>
      <w:rFonts w:ascii="Calibri" w:hAnsi="Calibri" w:cs="Symbol"/>
    </w:rPr>
  </w:style>
  <w:style w:type="character" w:styleId="ListLabel776">
    <w:name w:val="ListLabel 776"/>
    <w:qFormat/>
    <w:rPr>
      <w:rFonts w:cs="Courier New"/>
    </w:rPr>
  </w:style>
  <w:style w:type="character" w:styleId="ListLabel777">
    <w:name w:val="ListLabel 777"/>
    <w:qFormat/>
    <w:rPr>
      <w:rFonts w:cs="Wingdings"/>
    </w:rPr>
  </w:style>
  <w:style w:type="character" w:styleId="ListLabel778">
    <w:name w:val="ListLabel 778"/>
    <w:qFormat/>
    <w:rPr>
      <w:rFonts w:cs="Symbol"/>
    </w:rPr>
  </w:style>
  <w:style w:type="character" w:styleId="ListLabel779">
    <w:name w:val="ListLabel 779"/>
    <w:qFormat/>
    <w:rPr>
      <w:rFonts w:cs="Courier New"/>
    </w:rPr>
  </w:style>
  <w:style w:type="character" w:styleId="ListLabel780">
    <w:name w:val="ListLabel 780"/>
    <w:qFormat/>
    <w:rPr>
      <w:rFonts w:cs="Wingdings"/>
    </w:rPr>
  </w:style>
  <w:style w:type="character" w:styleId="ListLabel781">
    <w:name w:val="ListLabel 781"/>
    <w:qFormat/>
    <w:rPr>
      <w:rFonts w:cs="Symbol"/>
    </w:rPr>
  </w:style>
  <w:style w:type="character" w:styleId="ListLabel782">
    <w:name w:val="ListLabel 782"/>
    <w:qFormat/>
    <w:rPr>
      <w:rFonts w:cs="Courier New"/>
    </w:rPr>
  </w:style>
  <w:style w:type="character" w:styleId="ListLabel783">
    <w:name w:val="ListLabel 783"/>
    <w:qFormat/>
    <w:rPr>
      <w:rFonts w:cs="Wingdings"/>
    </w:rPr>
  </w:style>
  <w:style w:type="character" w:styleId="ListLabel784">
    <w:name w:val="ListLabel 784"/>
    <w:qFormat/>
    <w:rPr>
      <w:rFonts w:ascii="Calibri" w:hAnsi="Calibri" w:cs="Symbol"/>
      <w:sz w:val="24"/>
    </w:rPr>
  </w:style>
  <w:style w:type="character" w:styleId="ListLabel785">
    <w:name w:val="ListLabel 785"/>
    <w:qFormat/>
    <w:rPr>
      <w:rFonts w:cs="Courier New"/>
    </w:rPr>
  </w:style>
  <w:style w:type="character" w:styleId="ListLabel786">
    <w:name w:val="ListLabel 786"/>
    <w:qFormat/>
    <w:rPr>
      <w:rFonts w:cs="Wingdings"/>
    </w:rPr>
  </w:style>
  <w:style w:type="character" w:styleId="ListLabel787">
    <w:name w:val="ListLabel 787"/>
    <w:qFormat/>
    <w:rPr>
      <w:rFonts w:cs="Symbol"/>
    </w:rPr>
  </w:style>
  <w:style w:type="character" w:styleId="ListLabel788">
    <w:name w:val="ListLabel 788"/>
    <w:qFormat/>
    <w:rPr>
      <w:rFonts w:cs="Courier New"/>
    </w:rPr>
  </w:style>
  <w:style w:type="character" w:styleId="ListLabel789">
    <w:name w:val="ListLabel 789"/>
    <w:qFormat/>
    <w:rPr>
      <w:rFonts w:cs="Wingdings"/>
    </w:rPr>
  </w:style>
  <w:style w:type="character" w:styleId="ListLabel790">
    <w:name w:val="ListLabel 790"/>
    <w:qFormat/>
    <w:rPr>
      <w:rFonts w:cs="Symbol"/>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rFonts w:ascii="Calibri" w:hAnsi="Calibri" w:cs="Symbol"/>
      <w:sz w:val="24"/>
    </w:rPr>
  </w:style>
  <w:style w:type="character" w:styleId="ListLabel794">
    <w:name w:val="ListLabel 794"/>
    <w:qFormat/>
    <w:rPr>
      <w:rFonts w:cs="Courier New"/>
    </w:rPr>
  </w:style>
  <w:style w:type="character" w:styleId="ListLabel795">
    <w:name w:val="ListLabel 795"/>
    <w:qFormat/>
    <w:rPr>
      <w:rFonts w:cs="Wingdings"/>
    </w:rPr>
  </w:style>
  <w:style w:type="character" w:styleId="ListLabel796">
    <w:name w:val="ListLabel 796"/>
    <w:qFormat/>
    <w:rPr>
      <w:rFonts w:cs="Symbol"/>
    </w:rPr>
  </w:style>
  <w:style w:type="character" w:styleId="ListLabel797">
    <w:name w:val="ListLabel 797"/>
    <w:qFormat/>
    <w:rPr>
      <w:rFonts w:cs="Courier New"/>
    </w:rPr>
  </w:style>
  <w:style w:type="character" w:styleId="ListLabel798">
    <w:name w:val="ListLabel 798"/>
    <w:qFormat/>
    <w:rPr>
      <w:rFonts w:cs="Wingdings"/>
    </w:rPr>
  </w:style>
  <w:style w:type="character" w:styleId="ListLabel799">
    <w:name w:val="ListLabel 799"/>
    <w:qFormat/>
    <w:rPr>
      <w:rFonts w:cs="Symbol"/>
    </w:rPr>
  </w:style>
  <w:style w:type="character" w:styleId="ListLabel800">
    <w:name w:val="ListLabel 800"/>
    <w:qFormat/>
    <w:rPr>
      <w:rFonts w:cs="Courier New"/>
    </w:rPr>
  </w:style>
  <w:style w:type="character" w:styleId="ListLabel801">
    <w:name w:val="ListLabel 801"/>
    <w:qFormat/>
    <w:rPr>
      <w:rFonts w:cs="Wingdings"/>
    </w:rPr>
  </w:style>
  <w:style w:type="character" w:styleId="ListLabel802">
    <w:name w:val="ListLabel 802"/>
    <w:qFormat/>
    <w:rPr>
      <w:rFonts w:ascii="Calibri" w:hAnsi="Calibri" w:cs="Symbol"/>
      <w:sz w:val="24"/>
    </w:rPr>
  </w:style>
  <w:style w:type="character" w:styleId="ListLabel803">
    <w:name w:val="ListLabel 803"/>
    <w:qFormat/>
    <w:rPr>
      <w:rFonts w:cs="Courier New"/>
    </w:rPr>
  </w:style>
  <w:style w:type="character" w:styleId="ListLabel804">
    <w:name w:val="ListLabel 804"/>
    <w:qFormat/>
    <w:rPr>
      <w:rFonts w:cs="Wingdings"/>
    </w:rPr>
  </w:style>
  <w:style w:type="character" w:styleId="ListLabel805">
    <w:name w:val="ListLabel 805"/>
    <w:qFormat/>
    <w:rPr>
      <w:rFonts w:cs="Symbol"/>
    </w:rPr>
  </w:style>
  <w:style w:type="character" w:styleId="ListLabel806">
    <w:name w:val="ListLabel 806"/>
    <w:qFormat/>
    <w:rPr>
      <w:rFonts w:cs="Courier New"/>
    </w:rPr>
  </w:style>
  <w:style w:type="character" w:styleId="ListLabel807">
    <w:name w:val="ListLabel 807"/>
    <w:qFormat/>
    <w:rPr>
      <w:rFonts w:cs="Wingdings"/>
    </w:rPr>
  </w:style>
  <w:style w:type="character" w:styleId="ListLabel808">
    <w:name w:val="ListLabel 808"/>
    <w:qFormat/>
    <w:rPr>
      <w:rFonts w:cs="Symbol"/>
    </w:rPr>
  </w:style>
  <w:style w:type="character" w:styleId="ListLabel809">
    <w:name w:val="ListLabel 809"/>
    <w:qFormat/>
    <w:rPr>
      <w:rFonts w:cs="Courier New"/>
    </w:rPr>
  </w:style>
  <w:style w:type="character" w:styleId="ListLabel810">
    <w:name w:val="ListLabel 810"/>
    <w:qFormat/>
    <w:rPr>
      <w:rFonts w:cs="Wingdings"/>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
    <w:name w:val="Footnote Text"/>
    <w:basedOn w:val="Normal"/>
    <w:qFormat/>
    <w:pPr/>
    <w:rPr>
      <w:sz w:val="22"/>
      <w:szCs w:val="20"/>
    </w:rPr>
  </w:style>
  <w:style w:type="paragraph" w:styleId="Footer">
    <w:name w:val="Footer"/>
    <w:basedOn w:val="Normal"/>
    <w:pPr/>
    <w:rPr/>
  </w:style>
  <w:style w:type="paragraph" w:styleId="ListParagraph">
    <w:name w:val="List Paragraph"/>
    <w:basedOn w:val="Normal"/>
    <w:qFormat/>
    <w:pPr>
      <w:spacing w:before="0" w:after="20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96</TotalTime>
  <Application>LibreOffice/6.1.5.2$Linux_X86_64 LibreOffice_project/10$Build-2</Application>
  <Pages>3</Pages>
  <Words>590</Words>
  <Characters>3292</Characters>
  <CharactersWithSpaces>3850</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2019-12-01T20:00:30Z</dcterms:created>
  <dc:creator/>
  <dc:description/>
  <dc:language>en-US</dc:language>
  <cp:lastModifiedBy/>
  <dcterms:modified xsi:type="dcterms:W3CDTF">2021-04-29T08:21:50Z</dcterms:modified>
  <cp:revision>65</cp:revision>
  <dc:subject/>
  <dc:title/>
</cp:coreProperties>
</file>